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61947" w14:textId="77777777" w:rsidR="00517C08" w:rsidRDefault="00517C08" w:rsidP="00517C08">
      <w:pPr>
        <w:spacing w:after="120" w:line="360" w:lineRule="auto"/>
        <w:jc w:val="center"/>
        <w:rPr>
          <w:rFonts w:ascii="Times New Roman" w:hAnsi="Times New Roman" w:cs="Times New Roman"/>
          <w:b/>
          <w:bCs/>
        </w:rPr>
      </w:pPr>
      <w:r w:rsidRPr="00101772">
        <w:rPr>
          <w:rFonts w:ascii="Times New Roman" w:hAnsi="Times New Roman" w:cs="Times New Roman"/>
          <w:b/>
          <w:bCs/>
        </w:rPr>
        <w:t>ATIVIDADE FÍSICA NO TRANSTORNO DO ESPECTRO AUTISTA: IMPACTO COGNITIVO E NA QUALIDADE DE VIDA</w:t>
      </w:r>
    </w:p>
    <w:p w14:paraId="2F93B828" w14:textId="78621CB7" w:rsidR="00517C08" w:rsidRDefault="00517C08" w:rsidP="00517C08">
      <w:pPr>
        <w:spacing w:after="120"/>
        <w:jc w:val="center"/>
        <w:rPr>
          <w:rFonts w:ascii="Times New Roman" w:hAnsi="Times New Roman" w:cs="Times New Roman"/>
        </w:rPr>
      </w:pPr>
      <w:r>
        <w:rPr>
          <w:rFonts w:ascii="Times New Roman" w:hAnsi="Times New Roman" w:cs="Times New Roman"/>
        </w:rPr>
        <w:t>Giulia da Costa Guimarães</w:t>
      </w:r>
      <w:r w:rsidRPr="009E38EE">
        <w:rPr>
          <w:rFonts w:ascii="Times New Roman" w:hAnsi="Times New Roman" w:cs="Times New Roman"/>
          <w:vertAlign w:val="superscript"/>
        </w:rPr>
        <w:t>1</w:t>
      </w:r>
      <w:r>
        <w:rPr>
          <w:rFonts w:ascii="Times New Roman" w:hAnsi="Times New Roman" w:cs="Times New Roman"/>
        </w:rPr>
        <w:t>; Fabricio Porto Matrone</w:t>
      </w:r>
      <w:r>
        <w:rPr>
          <w:rFonts w:ascii="Times New Roman" w:hAnsi="Times New Roman" w:cs="Times New Roman"/>
          <w:vertAlign w:val="superscript"/>
        </w:rPr>
        <w:t>2</w:t>
      </w:r>
      <w:r w:rsidRPr="009E38EE">
        <w:rPr>
          <w:rFonts w:ascii="Times New Roman" w:hAnsi="Times New Roman" w:cs="Times New Roman"/>
        </w:rPr>
        <w:t>;</w:t>
      </w:r>
      <w:r w:rsidRPr="00517C08">
        <w:t xml:space="preserve"> </w:t>
      </w:r>
      <w:r w:rsidRPr="00517C08">
        <w:rPr>
          <w:rFonts w:ascii="Times New Roman" w:hAnsi="Times New Roman" w:cs="Times New Roman"/>
        </w:rPr>
        <w:t xml:space="preserve">Rachel </w:t>
      </w:r>
      <w:proofErr w:type="spellStart"/>
      <w:r w:rsidRPr="00517C08">
        <w:rPr>
          <w:rFonts w:ascii="Times New Roman" w:hAnsi="Times New Roman" w:cs="Times New Roman"/>
        </w:rPr>
        <w:t>Szajnbok</w:t>
      </w:r>
      <w:proofErr w:type="spellEnd"/>
      <w:r w:rsidRPr="00517C08">
        <w:rPr>
          <w:rFonts w:ascii="Times New Roman" w:hAnsi="Times New Roman" w:cs="Times New Roman"/>
        </w:rPr>
        <w:t xml:space="preserve"> Harari</w:t>
      </w:r>
      <w:r>
        <w:rPr>
          <w:rFonts w:ascii="Times New Roman" w:hAnsi="Times New Roman" w:cs="Times New Roman"/>
          <w:vertAlign w:val="superscript"/>
        </w:rPr>
        <w:t>3</w:t>
      </w:r>
      <w:r>
        <w:rPr>
          <w:rFonts w:ascii="Times New Roman" w:hAnsi="Times New Roman" w:cs="Times New Roman"/>
        </w:rPr>
        <w:t xml:space="preserve">; </w:t>
      </w:r>
      <w:proofErr w:type="spellStart"/>
      <w:r w:rsidRPr="009E38EE">
        <w:rPr>
          <w:rFonts w:ascii="Times New Roman" w:hAnsi="Times New Roman" w:cs="Times New Roman"/>
        </w:rPr>
        <w:t>Dr</w:t>
      </w:r>
      <w:proofErr w:type="spellEnd"/>
      <w:r w:rsidRPr="009E38EE">
        <w:rPr>
          <w:rFonts w:ascii="Times New Roman" w:hAnsi="Times New Roman" w:cs="Times New Roman"/>
        </w:rPr>
        <w:t xml:space="preserve">ª </w:t>
      </w:r>
      <w:r>
        <w:rPr>
          <w:rFonts w:ascii="Times New Roman" w:hAnsi="Times New Roman" w:cs="Times New Roman"/>
        </w:rPr>
        <w:t>Nathalia Bernardes</w:t>
      </w:r>
      <w:r w:rsidR="00576292">
        <w:rPr>
          <w:rFonts w:ascii="Times New Roman" w:hAnsi="Times New Roman" w:cs="Times New Roman"/>
          <w:vertAlign w:val="superscript"/>
        </w:rPr>
        <w:t>4</w:t>
      </w:r>
      <w:r w:rsidRPr="009E38EE">
        <w:rPr>
          <w:rFonts w:ascii="Times New Roman" w:hAnsi="Times New Roman" w:cs="Times New Roman"/>
        </w:rPr>
        <w:t xml:space="preserve"> (orientadora)</w:t>
      </w:r>
    </w:p>
    <w:p w14:paraId="6F1D683C" w14:textId="77777777" w:rsidR="00517C08" w:rsidRDefault="00517C08" w:rsidP="00517C08">
      <w:pPr>
        <w:spacing w:after="120"/>
        <w:jc w:val="center"/>
        <w:rPr>
          <w:rFonts w:ascii="Times New Roman" w:hAnsi="Times New Roman" w:cs="Times New Roman"/>
        </w:rPr>
      </w:pPr>
    </w:p>
    <w:p w14:paraId="54DC0C9F" w14:textId="77777777" w:rsidR="00517C08" w:rsidRPr="009E38EE" w:rsidRDefault="00517C08" w:rsidP="00517C08">
      <w:pPr>
        <w:spacing w:after="120" w:line="360" w:lineRule="auto"/>
        <w:jc w:val="both"/>
        <w:rPr>
          <w:rFonts w:ascii="Times New Roman" w:hAnsi="Times New Roman" w:cs="Times New Roman"/>
        </w:rPr>
      </w:pPr>
      <w:r w:rsidRPr="009E38EE">
        <w:rPr>
          <w:rFonts w:ascii="Times New Roman" w:hAnsi="Times New Roman" w:cs="Times New Roman"/>
          <w:b/>
        </w:rPr>
        <w:t>RESUMO:</w:t>
      </w:r>
      <w:r w:rsidRPr="009E38EE">
        <w:rPr>
          <w:rFonts w:ascii="Times New Roman" w:hAnsi="Times New Roman" w:cs="Times New Roman"/>
        </w:rPr>
        <w:t xml:space="preserve"> </w:t>
      </w:r>
    </w:p>
    <w:p w14:paraId="423DB881" w14:textId="59EFFCBC" w:rsidR="00517C08" w:rsidRDefault="00570359" w:rsidP="00570359">
      <w:pPr>
        <w:spacing w:after="120" w:line="240" w:lineRule="auto"/>
        <w:jc w:val="both"/>
        <w:rPr>
          <w:rFonts w:ascii="Times New Roman" w:hAnsi="Times New Roman" w:cs="Times New Roman"/>
        </w:rPr>
      </w:pPr>
      <w:r w:rsidRPr="00570359">
        <w:rPr>
          <w:rFonts w:ascii="Times New Roman" w:hAnsi="Times New Roman" w:cs="Times New Roman"/>
        </w:rPr>
        <w:t>O Transtorno do Espectro Autista</w:t>
      </w:r>
      <w:r w:rsidR="00942959">
        <w:rPr>
          <w:rFonts w:ascii="Times New Roman" w:hAnsi="Times New Roman" w:cs="Times New Roman"/>
        </w:rPr>
        <w:t xml:space="preserve"> </w:t>
      </w:r>
      <w:r w:rsidRPr="00570359">
        <w:rPr>
          <w:rFonts w:ascii="Times New Roman" w:hAnsi="Times New Roman" w:cs="Times New Roman"/>
        </w:rPr>
        <w:t>é um conjunto de condições heterogêneas do desenvolvimento neurológico.</w:t>
      </w:r>
      <w:r w:rsidR="00942959">
        <w:rPr>
          <w:rFonts w:ascii="Times New Roman" w:hAnsi="Times New Roman" w:cs="Times New Roman"/>
        </w:rPr>
        <w:t xml:space="preserve"> Já</w:t>
      </w:r>
      <w:r w:rsidRPr="00570359">
        <w:rPr>
          <w:rFonts w:ascii="Times New Roman" w:hAnsi="Times New Roman" w:cs="Times New Roman"/>
        </w:rPr>
        <w:t xml:space="preserve">, a prática de atividade física, têm sido destacada como uma possível terapia. Dessa forma, o objetivo deste trabalho é analisar o nível de atividade física no manejo e a qualidade de vida na população com TEA. </w:t>
      </w:r>
      <w:r w:rsidR="00517C08" w:rsidRPr="00517C08">
        <w:rPr>
          <w:rFonts w:ascii="Times New Roman" w:hAnsi="Times New Roman" w:cs="Times New Roman"/>
        </w:rPr>
        <w:t xml:space="preserve">Foram avaliados 14 </w:t>
      </w:r>
      <w:r w:rsidR="00576292">
        <w:rPr>
          <w:rFonts w:ascii="Times New Roman" w:hAnsi="Times New Roman" w:cs="Times New Roman"/>
        </w:rPr>
        <w:t>participantes</w:t>
      </w:r>
      <w:r w:rsidR="00517C08" w:rsidRPr="00517C08">
        <w:rPr>
          <w:rFonts w:ascii="Times New Roman" w:hAnsi="Times New Roman" w:cs="Times New Roman"/>
        </w:rPr>
        <w:t xml:space="preserve"> entre 6 e 18 anos com diagnóstico de TEA, divididos em dois grupos: Grupo Sedentário</w:t>
      </w:r>
      <w:r w:rsidR="00942959">
        <w:rPr>
          <w:rFonts w:ascii="Times New Roman" w:hAnsi="Times New Roman" w:cs="Times New Roman"/>
        </w:rPr>
        <w:t xml:space="preserve"> </w:t>
      </w:r>
      <w:r w:rsidR="00517C08" w:rsidRPr="00517C08">
        <w:rPr>
          <w:rFonts w:ascii="Times New Roman" w:hAnsi="Times New Roman" w:cs="Times New Roman"/>
        </w:rPr>
        <w:t>e Grupo Ativo, avaliados nos parâmetros: de caracterização da deficiência; nível de atividade física; cognitivos</w:t>
      </w:r>
      <w:r w:rsidR="00942959">
        <w:rPr>
          <w:rFonts w:ascii="Times New Roman" w:hAnsi="Times New Roman" w:cs="Times New Roman"/>
        </w:rPr>
        <w:t xml:space="preserve">; </w:t>
      </w:r>
      <w:r w:rsidR="00517C08" w:rsidRPr="00517C08">
        <w:rPr>
          <w:rFonts w:ascii="Times New Roman" w:hAnsi="Times New Roman" w:cs="Times New Roman"/>
        </w:rPr>
        <w:t>qualidade de vida (CAAE/USJT: 37934820.6.0000.0089).</w:t>
      </w:r>
      <w:r w:rsidR="00942959">
        <w:rPr>
          <w:rFonts w:ascii="Times New Roman" w:hAnsi="Times New Roman" w:cs="Times New Roman"/>
        </w:rPr>
        <w:t xml:space="preserve"> </w:t>
      </w:r>
      <w:r w:rsidR="00942959" w:rsidRPr="00942959">
        <w:rPr>
          <w:rFonts w:ascii="Times New Roman" w:hAnsi="Times New Roman" w:cs="Times New Roman"/>
        </w:rPr>
        <w:t>Ao realizarmos correlações entre os domínios da qualidade de vida e o MET, observamos que quanto maior o MET, maior é a qualidade de vida do participante.</w:t>
      </w:r>
      <w:r w:rsidR="00942959">
        <w:rPr>
          <w:rFonts w:ascii="Times New Roman" w:hAnsi="Times New Roman" w:cs="Times New Roman"/>
          <w:b/>
          <w:bCs/>
        </w:rPr>
        <w:t xml:space="preserve"> </w:t>
      </w:r>
      <w:r w:rsidR="00517C08" w:rsidRPr="00517C08">
        <w:rPr>
          <w:rFonts w:ascii="Times New Roman" w:hAnsi="Times New Roman" w:cs="Times New Roman"/>
        </w:rPr>
        <w:t>O TEA pode gerar um</w:t>
      </w:r>
      <w:r w:rsidR="00517C08">
        <w:rPr>
          <w:rFonts w:ascii="Times New Roman" w:hAnsi="Times New Roman" w:cs="Times New Roman"/>
        </w:rPr>
        <w:t xml:space="preserve"> </w:t>
      </w:r>
      <w:r w:rsidR="00517C08" w:rsidRPr="00517C08">
        <w:rPr>
          <w:rFonts w:ascii="Times New Roman" w:hAnsi="Times New Roman" w:cs="Times New Roman"/>
        </w:rPr>
        <w:t>prejuízo na qualidade de vida dos jovens, e a prática de atividade física pode ser uma</w:t>
      </w:r>
      <w:r w:rsidR="00517C08">
        <w:rPr>
          <w:rFonts w:ascii="Times New Roman" w:hAnsi="Times New Roman" w:cs="Times New Roman"/>
        </w:rPr>
        <w:t xml:space="preserve"> </w:t>
      </w:r>
      <w:r w:rsidR="00517C08" w:rsidRPr="00517C08">
        <w:rPr>
          <w:rFonts w:ascii="Times New Roman" w:hAnsi="Times New Roman" w:cs="Times New Roman"/>
        </w:rPr>
        <w:t>alternativa para o manejo positivo dessa população com crescente prevalência mundial.</w:t>
      </w:r>
    </w:p>
    <w:p w14:paraId="4B8C3CC0" w14:textId="77777777" w:rsidR="00570359" w:rsidRDefault="00570359" w:rsidP="00570359">
      <w:pPr>
        <w:spacing w:after="0" w:line="360" w:lineRule="auto"/>
        <w:jc w:val="both"/>
        <w:rPr>
          <w:rFonts w:ascii="Times New Roman" w:hAnsi="Times New Roman" w:cs="Times New Roman"/>
        </w:rPr>
      </w:pPr>
    </w:p>
    <w:p w14:paraId="642E1A14" w14:textId="77777777" w:rsidR="00570359" w:rsidRPr="009E38EE" w:rsidRDefault="00570359" w:rsidP="00570359">
      <w:pPr>
        <w:spacing w:after="0" w:line="360" w:lineRule="auto"/>
        <w:jc w:val="both"/>
        <w:rPr>
          <w:rFonts w:ascii="Times New Roman" w:hAnsi="Times New Roman" w:cs="Times New Roman"/>
        </w:rPr>
      </w:pPr>
      <w:r w:rsidRPr="009E38EE">
        <w:rPr>
          <w:rFonts w:ascii="Times New Roman" w:hAnsi="Times New Roman" w:cs="Times New Roman"/>
          <w:b/>
        </w:rPr>
        <w:t>INTRODUÇÃO:</w:t>
      </w:r>
      <w:r w:rsidRPr="009E38EE">
        <w:rPr>
          <w:rFonts w:ascii="Times New Roman" w:hAnsi="Times New Roman" w:cs="Times New Roman"/>
        </w:rPr>
        <w:t xml:space="preserve"> </w:t>
      </w:r>
    </w:p>
    <w:p w14:paraId="339ED15D" w14:textId="77777777" w:rsidR="006B7159" w:rsidRDefault="006B7159" w:rsidP="006B7159">
      <w:pPr>
        <w:spacing w:after="0" w:line="360" w:lineRule="auto"/>
        <w:jc w:val="both"/>
        <w:rPr>
          <w:rFonts w:ascii="Times New Roman" w:hAnsi="Times New Roman" w:cs="Times New Roman"/>
        </w:rPr>
      </w:pPr>
      <w:r w:rsidRPr="00825C5C">
        <w:rPr>
          <w:rFonts w:ascii="Times New Roman" w:hAnsi="Times New Roman" w:cs="Times New Roman"/>
        </w:rPr>
        <w:t xml:space="preserve">O TEA é considerado um transtorno multifatorial. Tanto a genética, a epigenética e a influência de fatores ambientais, estão presentes em sua gênese (MATSUZAKI et al., 2012; POSAR &amp; VISCONTI, 2017). As características comportamentais do TEA são evidentes na primeira infância, apresentando falta de interesse em interações sociais no primeiro ano de vida. Os primeiros sintomas frequentemente envolvem atraso no desenvolvimento da linguagem, acompanhado por ausência de interesse social, interações sociais incomuns e padrões estranhos de brincadeiras. Durante o segundo ano, comportamentos estranhos, repetitivos e a ausência de brincadeiras típicas são mais evidentes </w:t>
      </w:r>
      <w:bookmarkStart w:id="0" w:name="_Hlk119755986"/>
      <w:r w:rsidRPr="00825C5C">
        <w:rPr>
          <w:rFonts w:ascii="Times New Roman" w:hAnsi="Times New Roman" w:cs="Times New Roman"/>
        </w:rPr>
        <w:t>(APA, 2014)</w:t>
      </w:r>
      <w:bookmarkEnd w:id="0"/>
      <w:r w:rsidRPr="00825C5C">
        <w:rPr>
          <w:rFonts w:ascii="Times New Roman" w:hAnsi="Times New Roman" w:cs="Times New Roman"/>
        </w:rPr>
        <w:t>.</w:t>
      </w:r>
      <w:r w:rsidRPr="00B65A1D">
        <w:rPr>
          <w:rFonts w:ascii="Times New Roman" w:hAnsi="Times New Roman" w:cs="Times New Roman"/>
        </w:rPr>
        <w:t xml:space="preserve"> O TEA não é um transtorno degenerativo, a aprendizagem e compensação ocorrem ao longo da vida. Os sintomas são mais acentuados na primeira infância e nos primeiros anos da vida escolar, com ganhos no desenvolvimento no final da infância. Poucos indivíduos apresentam piora comportamental na adolescência. Na fase adulta, poucos vivem e trabalham de maneira independente, os que conseguem apresentam linguagem e capacidade intelectual superiores (SCHWARTZMAN &amp; ARAÚJO, C., 2011).</w:t>
      </w:r>
    </w:p>
    <w:p w14:paraId="0718DE7E" w14:textId="6D90ECA1" w:rsidR="00570359" w:rsidRDefault="006B7159" w:rsidP="009B7414">
      <w:pPr>
        <w:spacing w:after="0" w:line="360" w:lineRule="auto"/>
        <w:jc w:val="both"/>
        <w:rPr>
          <w:rFonts w:ascii="Times New Roman" w:hAnsi="Times New Roman" w:cs="Times New Roman"/>
        </w:rPr>
      </w:pPr>
      <w:r w:rsidRPr="00B65A1D">
        <w:rPr>
          <w:rFonts w:ascii="Times New Roman" w:hAnsi="Times New Roman" w:cs="Times New Roman"/>
        </w:rPr>
        <w:t xml:space="preserve">Por outro lado, já é consenso os benefícios de uma intervenção através de propostas baseadas em atividades físicas sistematizadas e variadas, que enfatizam as habilidades e padrões motores fundamentais, jogos e esportes individuais além de, atividades de desenvolvimento para </w:t>
      </w:r>
      <w:r w:rsidRPr="00B65A1D">
        <w:rPr>
          <w:rFonts w:ascii="Times New Roman" w:hAnsi="Times New Roman" w:cs="Times New Roman"/>
        </w:rPr>
        <w:lastRenderedPageBreak/>
        <w:t>melhora da condição física. Tarefas motoras como saltos, corridas, equilíbrio, coordenação dinâmica geral, deslocamentos, lançamentos e outros são positivos. Atividades psicomotoras de lateralidade, esquema corporal e orientação temporal devem ser consideradas no programa para TEA (ALVES, 2014). Existem alguns facilitadores para a realização de atividades físicas no TEA, são: motivação intrapessoal,</w:t>
      </w:r>
      <w:r>
        <w:rPr>
          <w:rFonts w:ascii="Times New Roman" w:hAnsi="Times New Roman" w:cs="Times New Roman"/>
        </w:rPr>
        <w:t xml:space="preserve"> </w:t>
      </w:r>
      <w:r w:rsidRPr="00B65A1D">
        <w:rPr>
          <w:rFonts w:ascii="Times New Roman" w:hAnsi="Times New Roman" w:cs="Times New Roman"/>
        </w:rPr>
        <w:t>participação em pares, apoio familiar, acompanhamento da comunidade e professores treinados. A promoção das habilidades motoras, socialização, afetividade, autonomia, contato corporal, controle corporal e o estabelecimento de laços, a comunicação, fora e dentro do grupo familiar, a independência, a autonomia em tarefas diárias e em alguns casos, até a diminuição da dosagem de medicação, são possíveis através de uma atuação adequada do professor de Educação Física (PAN et al., 2017). Esse conjunto de mudanças e manifestações decorrente da prática de atividade física, torna possível a melhora da vida social e familiar da pessoa com TEA.</w:t>
      </w:r>
    </w:p>
    <w:p w14:paraId="7C458BE3" w14:textId="77777777" w:rsidR="006B7159" w:rsidRPr="006B7159" w:rsidRDefault="006B7159" w:rsidP="009B7414">
      <w:pPr>
        <w:spacing w:after="0" w:line="360" w:lineRule="auto"/>
        <w:jc w:val="both"/>
        <w:rPr>
          <w:rFonts w:ascii="Times New Roman" w:hAnsi="Times New Roman" w:cs="Times New Roman"/>
        </w:rPr>
      </w:pPr>
    </w:p>
    <w:p w14:paraId="5746AE2B" w14:textId="55039FDE" w:rsidR="00570359" w:rsidRPr="00825C5C" w:rsidRDefault="00570359" w:rsidP="00570359">
      <w:pPr>
        <w:spacing w:after="0" w:line="360" w:lineRule="auto"/>
        <w:jc w:val="both"/>
        <w:rPr>
          <w:rFonts w:ascii="Times New Roman" w:hAnsi="Times New Roman" w:cs="Times New Roman"/>
        </w:rPr>
      </w:pPr>
      <w:r w:rsidRPr="00825C5C">
        <w:rPr>
          <w:rFonts w:ascii="Times New Roman" w:hAnsi="Times New Roman" w:cs="Times New Roman"/>
          <w:b/>
        </w:rPr>
        <w:t>PALAVRAS-CHAVE:</w:t>
      </w:r>
      <w:r w:rsidRPr="00825C5C">
        <w:rPr>
          <w:rFonts w:ascii="Times New Roman" w:hAnsi="Times New Roman" w:cs="Times New Roman"/>
        </w:rPr>
        <w:t xml:space="preserve"> </w:t>
      </w:r>
    </w:p>
    <w:p w14:paraId="68801E32" w14:textId="6BD2DF9C" w:rsidR="00570359" w:rsidRDefault="00570359" w:rsidP="00570359">
      <w:pPr>
        <w:spacing w:after="0" w:line="360" w:lineRule="auto"/>
        <w:jc w:val="both"/>
        <w:rPr>
          <w:rFonts w:ascii="Times New Roman" w:hAnsi="Times New Roman" w:cs="Times New Roman"/>
        </w:rPr>
      </w:pPr>
      <w:r w:rsidRPr="00825C5C">
        <w:rPr>
          <w:rFonts w:ascii="Times New Roman" w:hAnsi="Times New Roman" w:cs="Times New Roman"/>
        </w:rPr>
        <w:t>Transtorno do Espectro Autista, Atividade Física, Qualidade de Vida.</w:t>
      </w:r>
    </w:p>
    <w:p w14:paraId="15216267" w14:textId="77777777" w:rsidR="006B7159" w:rsidRDefault="006B7159" w:rsidP="00570359">
      <w:pPr>
        <w:spacing w:after="0" w:line="360" w:lineRule="auto"/>
        <w:jc w:val="both"/>
        <w:rPr>
          <w:rFonts w:ascii="Times New Roman" w:hAnsi="Times New Roman" w:cs="Times New Roman"/>
        </w:rPr>
      </w:pPr>
    </w:p>
    <w:p w14:paraId="300A9875" w14:textId="77892D15" w:rsidR="00570359" w:rsidRDefault="00570359" w:rsidP="00570359">
      <w:pPr>
        <w:spacing w:after="120" w:line="360" w:lineRule="auto"/>
        <w:jc w:val="both"/>
        <w:rPr>
          <w:rFonts w:ascii="Times New Roman" w:hAnsi="Times New Roman" w:cs="Times New Roman"/>
          <w:b/>
        </w:rPr>
      </w:pPr>
      <w:r w:rsidRPr="009E38EE">
        <w:rPr>
          <w:rFonts w:ascii="Times New Roman" w:hAnsi="Times New Roman" w:cs="Times New Roman"/>
          <w:b/>
        </w:rPr>
        <w:t>MÉTODO:</w:t>
      </w:r>
    </w:p>
    <w:p w14:paraId="5FDB50A2" w14:textId="77777777" w:rsidR="00570359" w:rsidRDefault="00570359" w:rsidP="00570359">
      <w:pPr>
        <w:spacing w:after="0" w:line="360" w:lineRule="auto"/>
        <w:jc w:val="both"/>
        <w:rPr>
          <w:rFonts w:ascii="Times New Roman" w:hAnsi="Times New Roman" w:cs="Times New Roman"/>
          <w:iCs/>
        </w:rPr>
      </w:pPr>
      <w:r w:rsidRPr="006867B4">
        <w:rPr>
          <w:rFonts w:ascii="Times New Roman" w:hAnsi="Times New Roman" w:cs="Times New Roman"/>
          <w:iCs/>
        </w:rPr>
        <w:t xml:space="preserve">O presente estudo possui aprovação do comitê de ética em pesquisa da instituição (CAAE/USJT: 37934820.6.0000.0089). </w:t>
      </w:r>
      <w:r w:rsidRPr="0020705A">
        <w:rPr>
          <w:rFonts w:ascii="Times New Roman" w:hAnsi="Times New Roman" w:cs="Times New Roman"/>
          <w:iCs/>
        </w:rPr>
        <w:t>Todos os responsáveis assinar</w:t>
      </w:r>
      <w:r>
        <w:rPr>
          <w:rFonts w:ascii="Times New Roman" w:hAnsi="Times New Roman" w:cs="Times New Roman"/>
          <w:iCs/>
        </w:rPr>
        <w:t>am</w:t>
      </w:r>
      <w:r w:rsidRPr="0020705A">
        <w:rPr>
          <w:rFonts w:ascii="Times New Roman" w:hAnsi="Times New Roman" w:cs="Times New Roman"/>
          <w:iCs/>
        </w:rPr>
        <w:t xml:space="preserve"> o Termo de Consentimento Livre Esclarecido (TCLE</w:t>
      </w:r>
      <w:r>
        <w:rPr>
          <w:rFonts w:ascii="Times New Roman" w:hAnsi="Times New Roman" w:cs="Times New Roman"/>
          <w:iCs/>
        </w:rPr>
        <w:t xml:space="preserve">). </w:t>
      </w:r>
    </w:p>
    <w:p w14:paraId="4849A9A9" w14:textId="7576E2FB" w:rsidR="00570359" w:rsidRDefault="00570359" w:rsidP="00570359">
      <w:pPr>
        <w:spacing w:after="0" w:line="360" w:lineRule="auto"/>
        <w:jc w:val="both"/>
        <w:rPr>
          <w:rFonts w:ascii="Times New Roman" w:hAnsi="Times New Roman" w:cs="Times New Roman"/>
          <w:iCs/>
        </w:rPr>
      </w:pPr>
      <w:r w:rsidRPr="00570359">
        <w:rPr>
          <w:rFonts w:ascii="Times New Roman" w:hAnsi="Times New Roman" w:cs="Times New Roman"/>
          <w:iCs/>
        </w:rPr>
        <w:t>As coletas foram realizadas em uma única etapa por meio de questionários virtuais</w:t>
      </w:r>
      <w:r w:rsidR="006B7159">
        <w:rPr>
          <w:rFonts w:ascii="Times New Roman" w:hAnsi="Times New Roman" w:cs="Times New Roman"/>
          <w:iCs/>
        </w:rPr>
        <w:t xml:space="preserve"> </w:t>
      </w:r>
      <w:r w:rsidRPr="00570359">
        <w:rPr>
          <w:rFonts w:ascii="Times New Roman" w:hAnsi="Times New Roman" w:cs="Times New Roman"/>
          <w:iCs/>
        </w:rPr>
        <w:t>que avaliavam: anamnese,</w:t>
      </w:r>
      <w:r>
        <w:rPr>
          <w:rFonts w:ascii="Times New Roman" w:hAnsi="Times New Roman" w:cs="Times New Roman"/>
          <w:iCs/>
        </w:rPr>
        <w:t xml:space="preserve"> </w:t>
      </w:r>
      <w:r w:rsidRPr="00570359">
        <w:rPr>
          <w:rFonts w:ascii="Times New Roman" w:hAnsi="Times New Roman" w:cs="Times New Roman"/>
          <w:iCs/>
        </w:rPr>
        <w:t>caracterização do</w:t>
      </w:r>
      <w:r>
        <w:rPr>
          <w:rFonts w:ascii="Times New Roman" w:hAnsi="Times New Roman" w:cs="Times New Roman"/>
          <w:iCs/>
        </w:rPr>
        <w:t xml:space="preserve"> </w:t>
      </w:r>
      <w:r w:rsidRPr="00570359">
        <w:rPr>
          <w:rFonts w:ascii="Times New Roman" w:hAnsi="Times New Roman" w:cs="Times New Roman"/>
          <w:iCs/>
        </w:rPr>
        <w:t>TEA, nível de atividade física, qualidade de vida e o estado cognitivo.</w:t>
      </w:r>
      <w:r>
        <w:rPr>
          <w:rFonts w:ascii="Times New Roman" w:hAnsi="Times New Roman" w:cs="Times New Roman"/>
          <w:iCs/>
        </w:rPr>
        <w:t xml:space="preserve"> </w:t>
      </w:r>
      <w:r w:rsidR="006B7159">
        <w:rPr>
          <w:rFonts w:ascii="Times New Roman" w:hAnsi="Times New Roman" w:cs="Times New Roman"/>
          <w:iCs/>
        </w:rPr>
        <w:t>Foram</w:t>
      </w:r>
      <w:r w:rsidRPr="00570359">
        <w:rPr>
          <w:rFonts w:ascii="Times New Roman" w:hAnsi="Times New Roman" w:cs="Times New Roman"/>
          <w:iCs/>
        </w:rPr>
        <w:t xml:space="preserve"> 14 participantes, do sexo feminino e masculino, com idade entre 6 e</w:t>
      </w:r>
      <w:r>
        <w:rPr>
          <w:rFonts w:ascii="Times New Roman" w:hAnsi="Times New Roman" w:cs="Times New Roman"/>
          <w:iCs/>
        </w:rPr>
        <w:t xml:space="preserve"> </w:t>
      </w:r>
      <w:r w:rsidRPr="00570359">
        <w:rPr>
          <w:rFonts w:ascii="Times New Roman" w:hAnsi="Times New Roman" w:cs="Times New Roman"/>
          <w:iCs/>
        </w:rPr>
        <w:t xml:space="preserve">18 anos, parte da Associação de Amigos do Autista (AMA), e outros participantes </w:t>
      </w:r>
      <w:r w:rsidR="006B7159">
        <w:rPr>
          <w:rFonts w:ascii="Times New Roman" w:hAnsi="Times New Roman" w:cs="Times New Roman"/>
          <w:iCs/>
        </w:rPr>
        <w:t xml:space="preserve">advindos </w:t>
      </w:r>
      <w:r w:rsidRPr="00570359">
        <w:rPr>
          <w:rFonts w:ascii="Times New Roman" w:hAnsi="Times New Roman" w:cs="Times New Roman"/>
          <w:iCs/>
        </w:rPr>
        <w:t>da</w:t>
      </w:r>
      <w:r>
        <w:rPr>
          <w:rFonts w:ascii="Times New Roman" w:hAnsi="Times New Roman" w:cs="Times New Roman"/>
          <w:iCs/>
        </w:rPr>
        <w:t xml:space="preserve"> </w:t>
      </w:r>
      <w:r w:rsidRPr="00570359">
        <w:rPr>
          <w:rFonts w:ascii="Times New Roman" w:hAnsi="Times New Roman" w:cs="Times New Roman"/>
          <w:iCs/>
        </w:rPr>
        <w:t>divulgação dos questionários nas mídias sociais</w:t>
      </w:r>
      <w:r>
        <w:rPr>
          <w:rFonts w:ascii="Times New Roman" w:hAnsi="Times New Roman" w:cs="Times New Roman"/>
          <w:iCs/>
        </w:rPr>
        <w:t>.</w:t>
      </w:r>
    </w:p>
    <w:p w14:paraId="5D34B6CE" w14:textId="4851041F" w:rsidR="00570359" w:rsidRDefault="00570359" w:rsidP="00570359">
      <w:pPr>
        <w:spacing w:after="0" w:line="360" w:lineRule="auto"/>
        <w:jc w:val="both"/>
        <w:rPr>
          <w:rFonts w:ascii="Times New Roman" w:hAnsi="Times New Roman" w:cs="Times New Roman"/>
          <w:iCs/>
        </w:rPr>
      </w:pPr>
      <w:r w:rsidRPr="006867B4">
        <w:rPr>
          <w:rFonts w:ascii="Times New Roman" w:hAnsi="Times New Roman" w:cs="Times New Roman"/>
          <w:iCs/>
        </w:rPr>
        <w:t xml:space="preserve">Os sujeitos </w:t>
      </w:r>
      <w:r w:rsidR="00392FF4">
        <w:rPr>
          <w:rFonts w:ascii="Times New Roman" w:hAnsi="Times New Roman" w:cs="Times New Roman"/>
          <w:iCs/>
        </w:rPr>
        <w:t>fo</w:t>
      </w:r>
      <w:r w:rsidRPr="006867B4">
        <w:rPr>
          <w:rFonts w:ascii="Times New Roman" w:hAnsi="Times New Roman" w:cs="Times New Roman"/>
          <w:iCs/>
        </w:rPr>
        <w:t>r</w:t>
      </w:r>
      <w:r w:rsidR="00392FF4">
        <w:rPr>
          <w:rFonts w:ascii="Times New Roman" w:hAnsi="Times New Roman" w:cs="Times New Roman"/>
          <w:iCs/>
        </w:rPr>
        <w:t>am</w:t>
      </w:r>
      <w:r w:rsidRPr="006867B4">
        <w:rPr>
          <w:rFonts w:ascii="Times New Roman" w:hAnsi="Times New Roman" w:cs="Times New Roman"/>
          <w:iCs/>
        </w:rPr>
        <w:t xml:space="preserve"> </w:t>
      </w:r>
      <w:r>
        <w:rPr>
          <w:rFonts w:ascii="Times New Roman" w:hAnsi="Times New Roman" w:cs="Times New Roman"/>
          <w:iCs/>
        </w:rPr>
        <w:t>caracterizados</w:t>
      </w:r>
      <w:r w:rsidRPr="006867B4">
        <w:rPr>
          <w:rFonts w:ascii="Times New Roman" w:hAnsi="Times New Roman" w:cs="Times New Roman"/>
          <w:iCs/>
        </w:rPr>
        <w:t xml:space="preserve"> conforme os níveis </w:t>
      </w:r>
      <w:r>
        <w:rPr>
          <w:rFonts w:ascii="Times New Roman" w:hAnsi="Times New Roman" w:cs="Times New Roman"/>
          <w:iCs/>
        </w:rPr>
        <w:t>do TEA,</w:t>
      </w:r>
      <w:r w:rsidRPr="006867B4">
        <w:rPr>
          <w:rFonts w:ascii="Times New Roman" w:hAnsi="Times New Roman" w:cs="Times New Roman"/>
          <w:iCs/>
        </w:rPr>
        <w:t xml:space="preserve"> segundo os critérios do manual diagnóstico e estatístico de transtornos mentais (DSM-V), cuja classificação baseia-se em 3 níveis</w:t>
      </w:r>
      <w:r>
        <w:rPr>
          <w:rFonts w:ascii="Times New Roman" w:hAnsi="Times New Roman" w:cs="Times New Roman"/>
          <w:iCs/>
        </w:rPr>
        <w:t xml:space="preserve">: </w:t>
      </w:r>
      <w:r w:rsidRPr="006867B4">
        <w:rPr>
          <w:rFonts w:ascii="Times New Roman" w:hAnsi="Times New Roman" w:cs="Times New Roman"/>
          <w:iCs/>
        </w:rPr>
        <w:t>1: exigindo apoio</w:t>
      </w:r>
      <w:r>
        <w:rPr>
          <w:rFonts w:ascii="Times New Roman" w:hAnsi="Times New Roman" w:cs="Times New Roman"/>
          <w:iCs/>
        </w:rPr>
        <w:t xml:space="preserve">; </w:t>
      </w:r>
      <w:r w:rsidRPr="006867B4">
        <w:rPr>
          <w:rFonts w:ascii="Times New Roman" w:hAnsi="Times New Roman" w:cs="Times New Roman"/>
          <w:iCs/>
        </w:rPr>
        <w:t>2: exigindo apoio substancial;</w:t>
      </w:r>
      <w:r>
        <w:rPr>
          <w:rFonts w:ascii="Times New Roman" w:hAnsi="Times New Roman" w:cs="Times New Roman"/>
          <w:iCs/>
        </w:rPr>
        <w:t xml:space="preserve"> </w:t>
      </w:r>
      <w:r w:rsidRPr="006867B4">
        <w:rPr>
          <w:rFonts w:ascii="Times New Roman" w:hAnsi="Times New Roman" w:cs="Times New Roman"/>
          <w:iCs/>
        </w:rPr>
        <w:t>3: exigindo apoio muito substancial</w:t>
      </w:r>
      <w:r>
        <w:rPr>
          <w:rFonts w:ascii="Times New Roman" w:hAnsi="Times New Roman" w:cs="Times New Roman"/>
          <w:iCs/>
        </w:rPr>
        <w:t xml:space="preserve"> </w:t>
      </w:r>
      <w:r w:rsidRPr="0066494F">
        <w:rPr>
          <w:rFonts w:ascii="Times New Roman" w:hAnsi="Times New Roman" w:cs="Times New Roman"/>
          <w:iCs/>
        </w:rPr>
        <w:t>(APA, 2014)</w:t>
      </w:r>
      <w:r>
        <w:rPr>
          <w:rFonts w:ascii="Times New Roman" w:hAnsi="Times New Roman" w:cs="Times New Roman"/>
          <w:iCs/>
        </w:rPr>
        <w:t>.</w:t>
      </w:r>
    </w:p>
    <w:p w14:paraId="39A986D1" w14:textId="77777777" w:rsidR="00570359" w:rsidRDefault="00570359" w:rsidP="00570359">
      <w:pPr>
        <w:spacing w:after="0" w:line="360" w:lineRule="auto"/>
        <w:jc w:val="both"/>
        <w:rPr>
          <w:rFonts w:ascii="Times New Roman" w:hAnsi="Times New Roman" w:cs="Times New Roman"/>
          <w:iCs/>
        </w:rPr>
      </w:pPr>
      <w:r w:rsidRPr="003C2800">
        <w:rPr>
          <w:rFonts w:ascii="Times New Roman" w:hAnsi="Times New Roman" w:cs="Times New Roman"/>
          <w:iCs/>
        </w:rPr>
        <w:t>O</w:t>
      </w:r>
      <w:r w:rsidRPr="00320B95">
        <w:rPr>
          <w:rFonts w:ascii="Times New Roman" w:hAnsi="Times New Roman" w:cs="Times New Roman"/>
          <w:iCs/>
        </w:rPr>
        <w:t xml:space="preserve"> nível de atividade física, </w:t>
      </w:r>
      <w:r>
        <w:rPr>
          <w:rFonts w:ascii="Times New Roman" w:hAnsi="Times New Roman" w:cs="Times New Roman"/>
          <w:iCs/>
        </w:rPr>
        <w:t>foi</w:t>
      </w:r>
      <w:r w:rsidRPr="00320B95">
        <w:rPr>
          <w:rFonts w:ascii="Times New Roman" w:hAnsi="Times New Roman" w:cs="Times New Roman"/>
          <w:iCs/>
        </w:rPr>
        <w:t xml:space="preserve"> avaliado pelo </w:t>
      </w:r>
      <w:r w:rsidRPr="008822D5">
        <w:rPr>
          <w:rFonts w:ascii="Times New Roman" w:hAnsi="Times New Roman" w:cs="Times New Roman"/>
          <w:iCs/>
        </w:rPr>
        <w:t>Proxy</w:t>
      </w:r>
      <w:r w:rsidRPr="008B321D">
        <w:rPr>
          <w:rFonts w:ascii="Times New Roman" w:hAnsi="Times New Roman" w:cs="Times New Roman"/>
          <w:iCs/>
        </w:rPr>
        <w:t>-</w:t>
      </w:r>
      <w:proofErr w:type="spellStart"/>
      <w:r w:rsidRPr="008B321D">
        <w:rPr>
          <w:rFonts w:ascii="Times New Roman" w:hAnsi="Times New Roman" w:cs="Times New Roman"/>
          <w:iCs/>
        </w:rPr>
        <w:t>respondent</w:t>
      </w:r>
      <w:proofErr w:type="spellEnd"/>
      <w:r w:rsidRPr="008B321D">
        <w:rPr>
          <w:rFonts w:ascii="Times New Roman" w:hAnsi="Times New Roman" w:cs="Times New Roman"/>
          <w:iCs/>
        </w:rPr>
        <w:t xml:space="preserve"> </w:t>
      </w:r>
      <w:proofErr w:type="spellStart"/>
      <w:r w:rsidRPr="008B321D">
        <w:rPr>
          <w:rFonts w:ascii="Times New Roman" w:hAnsi="Times New Roman" w:cs="Times New Roman"/>
          <w:iCs/>
        </w:rPr>
        <w:t>International</w:t>
      </w:r>
      <w:proofErr w:type="spellEnd"/>
      <w:r w:rsidRPr="008B321D">
        <w:rPr>
          <w:rFonts w:ascii="Times New Roman" w:hAnsi="Times New Roman" w:cs="Times New Roman"/>
          <w:iCs/>
        </w:rPr>
        <w:t xml:space="preserve"> </w:t>
      </w:r>
      <w:proofErr w:type="spellStart"/>
      <w:r w:rsidRPr="008B321D">
        <w:rPr>
          <w:rFonts w:ascii="Times New Roman" w:hAnsi="Times New Roman" w:cs="Times New Roman"/>
          <w:iCs/>
        </w:rPr>
        <w:t>Physical</w:t>
      </w:r>
      <w:proofErr w:type="spellEnd"/>
      <w:r w:rsidRPr="008B321D">
        <w:rPr>
          <w:rFonts w:ascii="Times New Roman" w:hAnsi="Times New Roman" w:cs="Times New Roman"/>
          <w:iCs/>
        </w:rPr>
        <w:t xml:space="preserve"> </w:t>
      </w:r>
      <w:proofErr w:type="spellStart"/>
      <w:r w:rsidRPr="008B321D">
        <w:rPr>
          <w:rFonts w:ascii="Times New Roman" w:hAnsi="Times New Roman" w:cs="Times New Roman"/>
          <w:iCs/>
        </w:rPr>
        <w:t>Activity</w:t>
      </w:r>
      <w:proofErr w:type="spellEnd"/>
      <w:r w:rsidRPr="008B321D">
        <w:rPr>
          <w:rFonts w:ascii="Times New Roman" w:hAnsi="Times New Roman" w:cs="Times New Roman"/>
          <w:iCs/>
        </w:rPr>
        <w:t xml:space="preserve"> </w:t>
      </w:r>
      <w:proofErr w:type="spellStart"/>
      <w:r w:rsidRPr="008B321D">
        <w:rPr>
          <w:rFonts w:ascii="Times New Roman" w:hAnsi="Times New Roman" w:cs="Times New Roman"/>
          <w:iCs/>
        </w:rPr>
        <w:t>Questionnaire</w:t>
      </w:r>
      <w:proofErr w:type="spellEnd"/>
      <w:r w:rsidRPr="00320B95">
        <w:rPr>
          <w:rFonts w:ascii="Times New Roman" w:hAnsi="Times New Roman" w:cs="Times New Roman"/>
          <w:iCs/>
        </w:rPr>
        <w:t xml:space="preserve"> versão curta (IPAQ-S). Os níveis de atividade física estão relacionados as perguntas que correspondem às diferentes categorias: atividade física vigorosa, moderada, tempo de caminhada e tempo sentado (MATTHEWS et al., 2011). </w:t>
      </w:r>
    </w:p>
    <w:p w14:paraId="54767E2C" w14:textId="6717EE74" w:rsidR="00570359" w:rsidRDefault="00570359" w:rsidP="00570359">
      <w:pPr>
        <w:spacing w:after="0" w:line="360" w:lineRule="auto"/>
        <w:jc w:val="both"/>
        <w:rPr>
          <w:rFonts w:ascii="Times New Roman" w:hAnsi="Times New Roman" w:cs="Times New Roman"/>
          <w:iCs/>
        </w:rPr>
      </w:pPr>
      <w:r w:rsidRPr="00320B95">
        <w:rPr>
          <w:rFonts w:ascii="Times New Roman" w:hAnsi="Times New Roman" w:cs="Times New Roman"/>
          <w:iCs/>
        </w:rPr>
        <w:lastRenderedPageBreak/>
        <w:t xml:space="preserve">Para avaliar a qualidade de vida </w:t>
      </w:r>
      <w:r>
        <w:rPr>
          <w:rFonts w:ascii="Times New Roman" w:hAnsi="Times New Roman" w:cs="Times New Roman"/>
          <w:iCs/>
        </w:rPr>
        <w:t xml:space="preserve">foi </w:t>
      </w:r>
      <w:r w:rsidRPr="00320B95">
        <w:rPr>
          <w:rFonts w:ascii="Times New Roman" w:hAnsi="Times New Roman" w:cs="Times New Roman"/>
          <w:iCs/>
        </w:rPr>
        <w:t xml:space="preserve">utilizado o </w:t>
      </w:r>
      <w:r w:rsidRPr="00C310B8">
        <w:rPr>
          <w:rFonts w:ascii="Times New Roman" w:hAnsi="Times New Roman" w:cs="Times New Roman"/>
        </w:rPr>
        <w:t>WHOQOL-BREF-ID</w:t>
      </w:r>
      <w:r w:rsidRPr="00320B95">
        <w:rPr>
          <w:rFonts w:ascii="Times New Roman" w:hAnsi="Times New Roman" w:cs="Times New Roman"/>
          <w:iCs/>
        </w:rPr>
        <w:t>, instrumento criado pela Organização Mundial da Saúde (THE WHOQOL GROUP, 1996). A estrutura dos módulos é composta por 13 facetas: uma que avalia, o impacto da deficiência na qualidade de vida da população, e outras 12 subdivididas em 3 domínios: discriminação, autonomia e inclusão (THE-WHOQOL-DIS-GROUP, 2011).</w:t>
      </w:r>
      <w:r w:rsidRPr="003C2800">
        <w:rPr>
          <w:rFonts w:ascii="Times New Roman" w:hAnsi="Times New Roman" w:cs="Times New Roman"/>
          <w:iCs/>
        </w:rPr>
        <w:t xml:space="preserve"> </w:t>
      </w:r>
    </w:p>
    <w:p w14:paraId="4805779D" w14:textId="77777777" w:rsidR="00570359" w:rsidRDefault="00570359" w:rsidP="00570359">
      <w:pPr>
        <w:spacing w:after="0" w:line="360" w:lineRule="auto"/>
        <w:jc w:val="both"/>
        <w:rPr>
          <w:rFonts w:ascii="Times New Roman" w:hAnsi="Times New Roman" w:cs="Times New Roman"/>
          <w:iCs/>
        </w:rPr>
      </w:pPr>
      <w:r w:rsidRPr="003C2800">
        <w:rPr>
          <w:rFonts w:ascii="Times New Roman" w:hAnsi="Times New Roman" w:cs="Times New Roman"/>
          <w:iCs/>
        </w:rPr>
        <w:t xml:space="preserve">Já </w:t>
      </w:r>
      <w:r w:rsidRPr="003C2800">
        <w:rPr>
          <w:rFonts w:ascii="Times New Roman" w:hAnsi="Times New Roman" w:cs="Times New Roman"/>
        </w:rPr>
        <w:t xml:space="preserve">para avaliação do desempenho cognitivo, </w:t>
      </w:r>
      <w:r>
        <w:rPr>
          <w:rFonts w:ascii="Times New Roman" w:hAnsi="Times New Roman" w:cs="Times New Roman"/>
        </w:rPr>
        <w:t>foi utilizado o</w:t>
      </w:r>
      <w:r w:rsidRPr="003C2800">
        <w:rPr>
          <w:rFonts w:ascii="Times New Roman" w:hAnsi="Times New Roman" w:cs="Times New Roman"/>
        </w:rPr>
        <w:t xml:space="preserve"> </w:t>
      </w:r>
      <w:proofErr w:type="spellStart"/>
      <w:r w:rsidRPr="008B321D">
        <w:rPr>
          <w:rFonts w:ascii="Times New Roman" w:hAnsi="Times New Roman" w:cs="Times New Roman"/>
        </w:rPr>
        <w:t>Child</w:t>
      </w:r>
      <w:proofErr w:type="spellEnd"/>
      <w:r w:rsidRPr="008B321D">
        <w:rPr>
          <w:rFonts w:ascii="Times New Roman" w:hAnsi="Times New Roman" w:cs="Times New Roman"/>
        </w:rPr>
        <w:t xml:space="preserve"> </w:t>
      </w:r>
      <w:proofErr w:type="spellStart"/>
      <w:r w:rsidRPr="008B321D">
        <w:rPr>
          <w:rFonts w:ascii="Times New Roman" w:hAnsi="Times New Roman" w:cs="Times New Roman"/>
        </w:rPr>
        <w:t>Behavior</w:t>
      </w:r>
      <w:proofErr w:type="spellEnd"/>
      <w:r w:rsidRPr="003C2800">
        <w:rPr>
          <w:rFonts w:ascii="Times New Roman" w:hAnsi="Times New Roman" w:cs="Times New Roman"/>
        </w:rPr>
        <w:t xml:space="preserve"> Checklist for Ages 6-18 (CBCL/6-18 versão brasileira) que é dividido em duas partes, a primeira que analisa a competência social (envolvimento e desempenho da criança/adolescente em atividades esportivas, brincadeiras, jogos, passatempos, trabalhos e tarefas diárias) e a segunda parte que se refere à avaliação da existência de problemas emocionais e de comportamento (</w:t>
      </w:r>
      <w:r w:rsidRPr="003C2800">
        <w:rPr>
          <w:rFonts w:ascii="Times New Roman" w:hAnsi="Times New Roman" w:cs="Times New Roman"/>
          <w:lang w:val="de-DE"/>
        </w:rPr>
        <w:t>ACHENBACH &amp; RUFFLE, 2000</w:t>
      </w:r>
      <w:r w:rsidRPr="003C2800">
        <w:rPr>
          <w:rFonts w:ascii="Times New Roman" w:hAnsi="Times New Roman" w:cs="Times New Roman"/>
        </w:rPr>
        <w:t>).</w:t>
      </w:r>
      <w:r>
        <w:rPr>
          <w:rFonts w:ascii="Times New Roman" w:hAnsi="Times New Roman" w:cs="Times New Roman"/>
        </w:rPr>
        <w:t xml:space="preserve"> </w:t>
      </w:r>
    </w:p>
    <w:p w14:paraId="0889CDBC" w14:textId="23A5FB93" w:rsidR="00570359" w:rsidRDefault="009B7414" w:rsidP="00570359">
      <w:pPr>
        <w:spacing w:after="120" w:line="360" w:lineRule="auto"/>
        <w:jc w:val="both"/>
        <w:rPr>
          <w:rFonts w:ascii="Times New Roman" w:hAnsi="Times New Roman" w:cs="Times New Roman"/>
        </w:rPr>
      </w:pPr>
      <w:r w:rsidRPr="009B7414">
        <w:rPr>
          <w:rFonts w:ascii="Times New Roman" w:hAnsi="Times New Roman" w:cs="Times New Roman"/>
        </w:rPr>
        <w:t>Os resultados foram apresentados na forma de média ± erro padrão da média ou mediana e intervalos. Os dados foram testados quanto à normalidade pelo teste Shapiro-Wilk. Para análise estatística dos dados foi utilizado o teste t de Student e Correlação de Pearson. O nível de significância adotado foi de 5% (p&lt;0,05).</w:t>
      </w:r>
    </w:p>
    <w:p w14:paraId="244C21BA" w14:textId="77777777" w:rsidR="009B7414" w:rsidRDefault="009B7414" w:rsidP="009B7414">
      <w:pPr>
        <w:spacing w:after="0" w:line="360" w:lineRule="auto"/>
        <w:jc w:val="both"/>
        <w:rPr>
          <w:rFonts w:ascii="Times New Roman" w:hAnsi="Times New Roman" w:cs="Times New Roman"/>
        </w:rPr>
      </w:pPr>
    </w:p>
    <w:p w14:paraId="58C3712C" w14:textId="77777777" w:rsidR="009B7414" w:rsidRDefault="009B7414" w:rsidP="009B7414">
      <w:pPr>
        <w:rPr>
          <w:rFonts w:ascii="Times New Roman" w:hAnsi="Times New Roman" w:cs="Times New Roman"/>
        </w:rPr>
      </w:pPr>
      <w:r w:rsidRPr="009E38EE">
        <w:rPr>
          <w:rFonts w:ascii="Times New Roman" w:hAnsi="Times New Roman" w:cs="Times New Roman"/>
          <w:b/>
        </w:rPr>
        <w:t>RESULTADOS E DISCUSSÕES:</w:t>
      </w:r>
      <w:r w:rsidRPr="009E38EE">
        <w:rPr>
          <w:rFonts w:ascii="Times New Roman" w:hAnsi="Times New Roman" w:cs="Times New Roman"/>
        </w:rPr>
        <w:t xml:space="preserve"> </w:t>
      </w:r>
    </w:p>
    <w:p w14:paraId="5C4B4E85" w14:textId="51183A65" w:rsidR="009B7414" w:rsidRDefault="009B7414" w:rsidP="006B7159">
      <w:pPr>
        <w:spacing w:line="360" w:lineRule="auto"/>
        <w:jc w:val="both"/>
        <w:rPr>
          <w:rFonts w:ascii="Times New Roman" w:hAnsi="Times New Roman" w:cs="Times New Roman"/>
        </w:rPr>
      </w:pPr>
      <w:r w:rsidRPr="00F45D8F">
        <w:rPr>
          <w:rFonts w:ascii="Times New Roman" w:hAnsi="Times New Roman" w:cs="Times New Roman"/>
        </w:rPr>
        <w:t>Foram avaliados 14 participantes com TEA e idade entre 6 e 18 anos, sendo divididos em dois grupos: Grupo Sedentário (GS=7) e Grupo Ativo (GA=7), com média de idade de 13±4 (Tabela 1).</w:t>
      </w:r>
    </w:p>
    <w:p w14:paraId="08293BF5" w14:textId="7437A576" w:rsidR="00392FF4" w:rsidRPr="00F45D8F" w:rsidRDefault="00392FF4" w:rsidP="00392FF4">
      <w:pPr>
        <w:spacing w:line="360" w:lineRule="auto"/>
        <w:jc w:val="center"/>
        <w:rPr>
          <w:rFonts w:ascii="Times New Roman" w:hAnsi="Times New Roman" w:cs="Times New Roman"/>
        </w:rPr>
      </w:pPr>
      <w:r w:rsidRPr="00392FF4">
        <w:rPr>
          <w:rFonts w:ascii="Times New Roman" w:hAnsi="Times New Roman" w:cs="Times New Roman"/>
          <w:noProof/>
        </w:rPr>
        <w:drawing>
          <wp:inline distT="0" distB="0" distL="0" distR="0" wp14:anchorId="15D39F19" wp14:editId="0334ABBF">
            <wp:extent cx="5768975" cy="3170555"/>
            <wp:effectExtent l="0" t="0" r="3175" b="0"/>
            <wp:docPr id="353595970"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95970" name="Imagem 1" descr="Tabela&#10;&#10;Descrição gerada automaticamente"/>
                    <pic:cNvPicPr/>
                  </pic:nvPicPr>
                  <pic:blipFill>
                    <a:blip r:embed="rId7"/>
                    <a:stretch>
                      <a:fillRect/>
                    </a:stretch>
                  </pic:blipFill>
                  <pic:spPr>
                    <a:xfrm>
                      <a:off x="0" y="0"/>
                      <a:ext cx="5768975" cy="3170555"/>
                    </a:xfrm>
                    <a:prstGeom prst="rect">
                      <a:avLst/>
                    </a:prstGeom>
                  </pic:spPr>
                </pic:pic>
              </a:graphicData>
            </a:graphic>
          </wp:inline>
        </w:drawing>
      </w:r>
    </w:p>
    <w:p w14:paraId="6D260607" w14:textId="08FA51F9" w:rsidR="009B7414" w:rsidRDefault="006B7159" w:rsidP="006B7159">
      <w:pPr>
        <w:spacing w:line="360" w:lineRule="auto"/>
        <w:jc w:val="both"/>
        <w:rPr>
          <w:rFonts w:ascii="Times New Roman" w:hAnsi="Times New Roman" w:cs="Times New Roman"/>
        </w:rPr>
      </w:pPr>
      <w:r>
        <w:rPr>
          <w:rFonts w:ascii="Times New Roman" w:hAnsi="Times New Roman" w:cs="Times New Roman"/>
        </w:rPr>
        <w:lastRenderedPageBreak/>
        <w:t xml:space="preserve">Na </w:t>
      </w:r>
      <w:r w:rsidR="009B7414" w:rsidRPr="00F45D8F">
        <w:rPr>
          <w:rFonts w:ascii="Times New Roman" w:hAnsi="Times New Roman" w:cs="Times New Roman"/>
        </w:rPr>
        <w:t>Tabela 2</w:t>
      </w:r>
      <w:r>
        <w:rPr>
          <w:rFonts w:ascii="Times New Roman" w:hAnsi="Times New Roman" w:cs="Times New Roman"/>
        </w:rPr>
        <w:t>, pode ser visto a continuação da caracterização da amostra</w:t>
      </w:r>
      <w:r w:rsidR="009B7414" w:rsidRPr="00F45D8F">
        <w:rPr>
          <w:rFonts w:ascii="Times New Roman" w:hAnsi="Times New Roman" w:cs="Times New Roman"/>
        </w:rPr>
        <w:t>.</w:t>
      </w:r>
    </w:p>
    <w:p w14:paraId="183DAE38" w14:textId="5AD913FD" w:rsidR="00392FF4" w:rsidRPr="00F45D8F" w:rsidRDefault="00392FF4" w:rsidP="00392FF4">
      <w:pPr>
        <w:spacing w:line="360" w:lineRule="auto"/>
        <w:jc w:val="center"/>
        <w:rPr>
          <w:rFonts w:ascii="Times New Roman" w:hAnsi="Times New Roman" w:cs="Times New Roman"/>
        </w:rPr>
      </w:pPr>
      <w:r w:rsidRPr="00392FF4">
        <w:rPr>
          <w:rFonts w:ascii="Times New Roman" w:hAnsi="Times New Roman" w:cs="Times New Roman"/>
          <w:noProof/>
        </w:rPr>
        <w:drawing>
          <wp:inline distT="0" distB="0" distL="0" distR="0" wp14:anchorId="54E0AD39" wp14:editId="632EB89F">
            <wp:extent cx="5768975" cy="3710940"/>
            <wp:effectExtent l="0" t="0" r="3175" b="3810"/>
            <wp:docPr id="487597149" name="Imagem 1"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97149" name="Imagem 1" descr="Interface gráfica do usuário&#10;&#10;Descrição gerada automaticamente com confiança média"/>
                    <pic:cNvPicPr/>
                  </pic:nvPicPr>
                  <pic:blipFill>
                    <a:blip r:embed="rId8"/>
                    <a:stretch>
                      <a:fillRect/>
                    </a:stretch>
                  </pic:blipFill>
                  <pic:spPr>
                    <a:xfrm>
                      <a:off x="0" y="0"/>
                      <a:ext cx="5768975" cy="3710940"/>
                    </a:xfrm>
                    <a:prstGeom prst="rect">
                      <a:avLst/>
                    </a:prstGeom>
                  </pic:spPr>
                </pic:pic>
              </a:graphicData>
            </a:graphic>
          </wp:inline>
        </w:drawing>
      </w:r>
    </w:p>
    <w:p w14:paraId="19441696" w14:textId="13EC7A18" w:rsidR="00F45D8F" w:rsidRDefault="009B7414" w:rsidP="006B7159">
      <w:pPr>
        <w:spacing w:line="360" w:lineRule="auto"/>
        <w:jc w:val="both"/>
        <w:rPr>
          <w:rFonts w:ascii="Times New Roman" w:hAnsi="Times New Roman" w:cs="Times New Roman"/>
        </w:rPr>
      </w:pPr>
      <w:r w:rsidRPr="00F45D8F">
        <w:rPr>
          <w:rFonts w:ascii="Times New Roman" w:hAnsi="Times New Roman" w:cs="Times New Roman"/>
        </w:rPr>
        <w:t>Como é mostrado na tabela 3, o GA apresenta uma pontuação maior de atividade física em comparação ao grupo GS pelo cálculo do MET.</w:t>
      </w:r>
    </w:p>
    <w:p w14:paraId="2021C681" w14:textId="441EA231" w:rsidR="00392FF4" w:rsidRPr="00F45D8F" w:rsidRDefault="00392FF4" w:rsidP="00392FF4">
      <w:pPr>
        <w:spacing w:line="360" w:lineRule="auto"/>
        <w:jc w:val="center"/>
        <w:rPr>
          <w:rFonts w:ascii="Times New Roman" w:hAnsi="Times New Roman" w:cs="Times New Roman"/>
        </w:rPr>
      </w:pPr>
      <w:r w:rsidRPr="00392FF4">
        <w:rPr>
          <w:rFonts w:ascii="Times New Roman" w:hAnsi="Times New Roman" w:cs="Times New Roman"/>
          <w:noProof/>
        </w:rPr>
        <w:drawing>
          <wp:inline distT="0" distB="0" distL="0" distR="0" wp14:anchorId="66411527" wp14:editId="3768A374">
            <wp:extent cx="5768975" cy="2865120"/>
            <wp:effectExtent l="0" t="0" r="3175" b="0"/>
            <wp:docPr id="444621548" name="Imagem 1" descr="Interface gráfica do usuári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21548" name="Imagem 1" descr="Interface gráfica do usuário, Tabela&#10;&#10;Descrição gerada automaticamente"/>
                    <pic:cNvPicPr/>
                  </pic:nvPicPr>
                  <pic:blipFill>
                    <a:blip r:embed="rId9"/>
                    <a:stretch>
                      <a:fillRect/>
                    </a:stretch>
                  </pic:blipFill>
                  <pic:spPr>
                    <a:xfrm>
                      <a:off x="0" y="0"/>
                      <a:ext cx="5768975" cy="2865120"/>
                    </a:xfrm>
                    <a:prstGeom prst="rect">
                      <a:avLst/>
                    </a:prstGeom>
                  </pic:spPr>
                </pic:pic>
              </a:graphicData>
            </a:graphic>
          </wp:inline>
        </w:drawing>
      </w:r>
    </w:p>
    <w:p w14:paraId="28B6FFA1" w14:textId="2594B652" w:rsidR="009B7414" w:rsidRPr="00F45D8F" w:rsidRDefault="009B7414" w:rsidP="006B7159">
      <w:pPr>
        <w:spacing w:line="360" w:lineRule="auto"/>
        <w:jc w:val="both"/>
        <w:rPr>
          <w:rFonts w:ascii="Times New Roman" w:hAnsi="Times New Roman" w:cs="Times New Roman"/>
        </w:rPr>
      </w:pPr>
      <w:r w:rsidRPr="00F45D8F">
        <w:rPr>
          <w:rFonts w:ascii="Times New Roman" w:hAnsi="Times New Roman" w:cs="Times New Roman"/>
        </w:rPr>
        <w:t xml:space="preserve">Em relação à qualidade de vida, </w:t>
      </w:r>
      <w:r w:rsidR="00F45D8F" w:rsidRPr="00F45D8F">
        <w:rPr>
          <w:rFonts w:ascii="Times New Roman" w:hAnsi="Times New Roman" w:cs="Times New Roman"/>
        </w:rPr>
        <w:t>o</w:t>
      </w:r>
      <w:r w:rsidRPr="00F45D8F">
        <w:rPr>
          <w:rFonts w:ascii="Times New Roman" w:hAnsi="Times New Roman" w:cs="Times New Roman"/>
        </w:rPr>
        <w:t>s domínios mais afetados no GS foram a Autonomia (</w:t>
      </w:r>
      <w:r w:rsidRPr="00F45D8F">
        <w:rPr>
          <w:rFonts w:ascii="Times New Roman" w:eastAsia="Times New Roman" w:hAnsi="Times New Roman" w:cs="Times New Roman"/>
          <w:color w:val="000000"/>
          <w:lang w:eastAsia="pt-BR"/>
        </w:rPr>
        <w:t xml:space="preserve">17±28) e Deficiência (17±6), assim como no GA que também foram </w:t>
      </w:r>
      <w:r w:rsidRPr="00F45D8F">
        <w:rPr>
          <w:rFonts w:ascii="Times New Roman" w:hAnsi="Times New Roman" w:cs="Times New Roman"/>
        </w:rPr>
        <w:t>Autonomia (</w:t>
      </w:r>
      <w:r w:rsidRPr="00F45D8F">
        <w:rPr>
          <w:rFonts w:ascii="Times New Roman" w:eastAsia="Times New Roman" w:hAnsi="Times New Roman" w:cs="Times New Roman"/>
          <w:color w:val="000000"/>
          <w:lang w:eastAsia="pt-BR"/>
        </w:rPr>
        <w:t xml:space="preserve">23±17) e Deficiência (14±8). Já </w:t>
      </w:r>
      <w:r w:rsidRPr="00F45D8F">
        <w:rPr>
          <w:rFonts w:ascii="Times New Roman" w:hAnsi="Times New Roman" w:cs="Times New Roman"/>
        </w:rPr>
        <w:t xml:space="preserve">na comparação entre os grupos, o GA apresentou melhor pontuação de qualidade de </w:t>
      </w:r>
      <w:r w:rsidRPr="00F45D8F">
        <w:rPr>
          <w:rFonts w:ascii="Times New Roman" w:hAnsi="Times New Roman" w:cs="Times New Roman"/>
        </w:rPr>
        <w:lastRenderedPageBreak/>
        <w:t>vida no Domínio Pessoal (</w:t>
      </w:r>
      <w:r w:rsidRPr="00F45D8F">
        <w:rPr>
          <w:rFonts w:ascii="Times New Roman" w:eastAsia="Times New Roman" w:hAnsi="Times New Roman" w:cs="Times New Roman"/>
          <w:color w:val="000000"/>
          <w:lang w:eastAsia="pt-BR"/>
        </w:rPr>
        <w:t>61±17)</w:t>
      </w:r>
      <w:r w:rsidRPr="00F45D8F">
        <w:rPr>
          <w:rFonts w:ascii="Times New Roman" w:hAnsi="Times New Roman" w:cs="Times New Roman"/>
        </w:rPr>
        <w:t xml:space="preserve"> em comparação ao GS (</w:t>
      </w:r>
      <w:r w:rsidRPr="00F45D8F">
        <w:rPr>
          <w:rFonts w:ascii="Times New Roman" w:eastAsia="Times New Roman" w:hAnsi="Times New Roman" w:cs="Times New Roman"/>
          <w:color w:val="000000"/>
          <w:lang w:eastAsia="pt-BR"/>
        </w:rPr>
        <w:t>35±11</w:t>
      </w:r>
      <w:r w:rsidRPr="00F45D8F">
        <w:rPr>
          <w:rFonts w:ascii="Times New Roman" w:eastAsia="Times New Roman" w:hAnsi="Times New Roman" w:cs="Times New Roman"/>
          <w:color w:val="000000"/>
          <w:sz w:val="20"/>
          <w:szCs w:val="20"/>
          <w:lang w:eastAsia="pt-BR"/>
        </w:rPr>
        <w:t>)</w:t>
      </w:r>
      <w:r w:rsidRPr="00F45D8F">
        <w:rPr>
          <w:rFonts w:ascii="Times New Roman" w:hAnsi="Times New Roman" w:cs="Times New Roman"/>
        </w:rPr>
        <w:t>, os outros domínios não apresentaram diferença significante (Tabela 4).</w:t>
      </w:r>
    </w:p>
    <w:p w14:paraId="26498570" w14:textId="5724A27D" w:rsidR="006B7159" w:rsidRDefault="009B7414" w:rsidP="006B7159">
      <w:pPr>
        <w:spacing w:line="360" w:lineRule="auto"/>
        <w:jc w:val="both"/>
        <w:rPr>
          <w:rFonts w:ascii="Times New Roman" w:hAnsi="Times New Roman" w:cs="Times New Roman"/>
        </w:rPr>
      </w:pPr>
      <w:r w:rsidRPr="00F45D8F">
        <w:rPr>
          <w:rFonts w:ascii="Times New Roman" w:hAnsi="Times New Roman" w:cs="Times New Roman"/>
        </w:rPr>
        <w:t>Ao testar as correlações entre os domínios de qualidade de vida e o score do nível de atividade física foi possível verificar que uma maior prática de atividade física afetou diretamente a qualidade de vida nos Domínios Pessoal, Psicológico, Inclusão e Sonhos/Oportunidades</w:t>
      </w:r>
      <w:r w:rsidR="00392FF4">
        <w:rPr>
          <w:rFonts w:ascii="Times New Roman" w:hAnsi="Times New Roman" w:cs="Times New Roman"/>
        </w:rPr>
        <w:t xml:space="preserve"> (Figura 1,2, 3 &amp; 4).</w:t>
      </w:r>
    </w:p>
    <w:p w14:paraId="2585464E" w14:textId="77777777" w:rsidR="009B7414" w:rsidRPr="006B7159" w:rsidRDefault="009B7414" w:rsidP="009B7414">
      <w:pPr>
        <w:spacing w:line="360" w:lineRule="auto"/>
        <w:jc w:val="center"/>
        <w:rPr>
          <w:rFonts w:ascii="Times New Roman" w:hAnsi="Times New Roman" w:cs="Times New Roman"/>
        </w:rPr>
      </w:pPr>
      <w:r w:rsidRPr="006B7159">
        <w:rPr>
          <w:rFonts w:ascii="Times New Roman" w:hAnsi="Times New Roman" w:cs="Times New Roman"/>
          <w:noProof/>
        </w:rPr>
        <w:drawing>
          <wp:inline distT="0" distB="0" distL="0" distR="0" wp14:anchorId="1FBCD1F3" wp14:editId="29CF1BFD">
            <wp:extent cx="4572000" cy="2743200"/>
            <wp:effectExtent l="0" t="0" r="0" b="0"/>
            <wp:docPr id="1209823153" name="Gráfico 1">
              <a:extLst xmlns:a="http://schemas.openxmlformats.org/drawingml/2006/main">
                <a:ext uri="{FF2B5EF4-FFF2-40B4-BE49-F238E27FC236}">
                  <a16:creationId xmlns:a16="http://schemas.microsoft.com/office/drawing/2014/main" id="{2923F640-AB49-46F2-F12A-69D1A4BFCC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E6F0FC" w14:textId="77777777" w:rsidR="009B7414" w:rsidRPr="006B7159" w:rsidRDefault="009B7414" w:rsidP="009B7414">
      <w:pPr>
        <w:spacing w:after="0" w:line="360" w:lineRule="auto"/>
        <w:jc w:val="center"/>
        <w:rPr>
          <w:rFonts w:ascii="Times New Roman" w:hAnsi="Times New Roman" w:cs="Times New Roman"/>
          <w:sz w:val="20"/>
          <w:szCs w:val="20"/>
        </w:rPr>
      </w:pPr>
      <w:r w:rsidRPr="006B7159">
        <w:rPr>
          <w:rFonts w:ascii="Times New Roman" w:hAnsi="Times New Roman" w:cs="Times New Roman"/>
          <w:b/>
          <w:bCs/>
          <w:sz w:val="20"/>
          <w:szCs w:val="20"/>
        </w:rPr>
        <w:t xml:space="preserve">Figura 1 – </w:t>
      </w:r>
      <w:r w:rsidRPr="006B7159">
        <w:rPr>
          <w:rFonts w:ascii="Times New Roman" w:hAnsi="Times New Roman" w:cs="Times New Roman"/>
          <w:sz w:val="20"/>
          <w:szCs w:val="20"/>
        </w:rPr>
        <w:t>Correlação entre Atividade Física e Domínio Pessoal</w:t>
      </w:r>
    </w:p>
    <w:p w14:paraId="2AB7B470" w14:textId="77777777" w:rsidR="009B7414" w:rsidRPr="006B7159" w:rsidRDefault="009B7414" w:rsidP="009B7414">
      <w:pPr>
        <w:spacing w:after="0" w:line="360" w:lineRule="auto"/>
        <w:jc w:val="center"/>
        <w:rPr>
          <w:rFonts w:ascii="Times New Roman" w:hAnsi="Times New Roman" w:cs="Times New Roman"/>
          <w:sz w:val="20"/>
          <w:szCs w:val="20"/>
        </w:rPr>
      </w:pPr>
      <w:r w:rsidRPr="006B7159">
        <w:rPr>
          <w:rFonts w:ascii="Times New Roman" w:hAnsi="Times New Roman" w:cs="Times New Roman"/>
          <w:sz w:val="20"/>
          <w:szCs w:val="20"/>
        </w:rPr>
        <w:t>Fonte: Elaborado pela autora, 2023.</w:t>
      </w:r>
    </w:p>
    <w:p w14:paraId="6491EBB3" w14:textId="77777777" w:rsidR="009B7414" w:rsidRPr="006B7159" w:rsidRDefault="009B7414" w:rsidP="009B7414">
      <w:pPr>
        <w:spacing w:after="0" w:line="360" w:lineRule="auto"/>
        <w:jc w:val="center"/>
        <w:rPr>
          <w:rFonts w:ascii="Times New Roman" w:hAnsi="Times New Roman" w:cs="Times New Roman"/>
          <w:sz w:val="20"/>
          <w:szCs w:val="20"/>
        </w:rPr>
      </w:pPr>
    </w:p>
    <w:p w14:paraId="668E4303" w14:textId="77777777" w:rsidR="009B7414" w:rsidRPr="006B7159" w:rsidRDefault="009B7414" w:rsidP="009B7414">
      <w:pPr>
        <w:spacing w:line="360" w:lineRule="auto"/>
        <w:jc w:val="center"/>
        <w:rPr>
          <w:rFonts w:ascii="Times New Roman" w:hAnsi="Times New Roman" w:cs="Times New Roman"/>
        </w:rPr>
      </w:pPr>
      <w:r w:rsidRPr="006B7159">
        <w:rPr>
          <w:rFonts w:ascii="Times New Roman" w:hAnsi="Times New Roman" w:cs="Times New Roman"/>
          <w:noProof/>
        </w:rPr>
        <w:drawing>
          <wp:inline distT="0" distB="0" distL="0" distR="0" wp14:anchorId="0971820B" wp14:editId="62969E42">
            <wp:extent cx="4572000" cy="2743200"/>
            <wp:effectExtent l="0" t="0" r="0" b="0"/>
            <wp:docPr id="1300016720" name="Gráfico 1">
              <a:extLst xmlns:a="http://schemas.openxmlformats.org/drawingml/2006/main">
                <a:ext uri="{FF2B5EF4-FFF2-40B4-BE49-F238E27FC236}">
                  <a16:creationId xmlns:a16="http://schemas.microsoft.com/office/drawing/2014/main" id="{18A1A886-A42C-1A64-9B31-5016C5EF83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ADABA5" w14:textId="77777777" w:rsidR="009B7414" w:rsidRPr="006B7159" w:rsidRDefault="009B7414" w:rsidP="009B7414">
      <w:pPr>
        <w:spacing w:after="0" w:line="360" w:lineRule="auto"/>
        <w:jc w:val="center"/>
        <w:rPr>
          <w:rFonts w:ascii="Times New Roman" w:hAnsi="Times New Roman" w:cs="Times New Roman"/>
          <w:sz w:val="20"/>
          <w:szCs w:val="20"/>
        </w:rPr>
      </w:pPr>
      <w:r w:rsidRPr="006B7159">
        <w:rPr>
          <w:rFonts w:ascii="Times New Roman" w:hAnsi="Times New Roman" w:cs="Times New Roman"/>
          <w:b/>
          <w:bCs/>
          <w:sz w:val="20"/>
          <w:szCs w:val="20"/>
        </w:rPr>
        <w:t xml:space="preserve">Figura 2 – </w:t>
      </w:r>
      <w:r w:rsidRPr="006B7159">
        <w:rPr>
          <w:rFonts w:ascii="Times New Roman" w:hAnsi="Times New Roman" w:cs="Times New Roman"/>
          <w:sz w:val="20"/>
          <w:szCs w:val="20"/>
        </w:rPr>
        <w:t>Correlação entre Atividade Física e Domínio Psicológico</w:t>
      </w:r>
    </w:p>
    <w:p w14:paraId="739EC5CF" w14:textId="77777777" w:rsidR="009B7414" w:rsidRPr="006B7159" w:rsidRDefault="009B7414" w:rsidP="009B7414">
      <w:pPr>
        <w:spacing w:after="0" w:line="360" w:lineRule="auto"/>
        <w:jc w:val="center"/>
        <w:rPr>
          <w:rFonts w:ascii="Times New Roman" w:hAnsi="Times New Roman" w:cs="Times New Roman"/>
          <w:sz w:val="20"/>
          <w:szCs w:val="20"/>
        </w:rPr>
      </w:pPr>
      <w:r w:rsidRPr="006B7159">
        <w:rPr>
          <w:rFonts w:ascii="Times New Roman" w:hAnsi="Times New Roman" w:cs="Times New Roman"/>
          <w:sz w:val="20"/>
          <w:szCs w:val="20"/>
        </w:rPr>
        <w:t>Fonte: Elaborado pela autora, 2023.</w:t>
      </w:r>
    </w:p>
    <w:p w14:paraId="2D17938E" w14:textId="77777777" w:rsidR="009B7414" w:rsidRPr="006B7159" w:rsidRDefault="009B7414" w:rsidP="009B7414">
      <w:pPr>
        <w:spacing w:after="0" w:line="360" w:lineRule="auto"/>
        <w:jc w:val="center"/>
        <w:rPr>
          <w:rFonts w:ascii="Times New Roman" w:hAnsi="Times New Roman" w:cs="Times New Roman"/>
          <w:sz w:val="20"/>
          <w:szCs w:val="20"/>
        </w:rPr>
      </w:pPr>
    </w:p>
    <w:p w14:paraId="02CBD6C6" w14:textId="77777777" w:rsidR="009B7414" w:rsidRPr="006B7159" w:rsidRDefault="009B7414" w:rsidP="009B7414">
      <w:pPr>
        <w:spacing w:line="360" w:lineRule="auto"/>
        <w:jc w:val="center"/>
        <w:rPr>
          <w:rFonts w:ascii="Times New Roman" w:hAnsi="Times New Roman" w:cs="Times New Roman"/>
        </w:rPr>
      </w:pPr>
      <w:r w:rsidRPr="006B7159">
        <w:rPr>
          <w:rFonts w:ascii="Times New Roman" w:hAnsi="Times New Roman" w:cs="Times New Roman"/>
          <w:noProof/>
        </w:rPr>
        <w:lastRenderedPageBreak/>
        <w:drawing>
          <wp:inline distT="0" distB="0" distL="0" distR="0" wp14:anchorId="47424801" wp14:editId="54D13C22">
            <wp:extent cx="4572000" cy="2743200"/>
            <wp:effectExtent l="0" t="0" r="0" b="0"/>
            <wp:docPr id="2066022019" name="Gráfico 1">
              <a:extLst xmlns:a="http://schemas.openxmlformats.org/drawingml/2006/main">
                <a:ext uri="{FF2B5EF4-FFF2-40B4-BE49-F238E27FC236}">
                  <a16:creationId xmlns:a16="http://schemas.microsoft.com/office/drawing/2014/main" id="{40317512-F4FD-0341-5B84-95ADBA180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FB25CC" w14:textId="77777777" w:rsidR="009B7414" w:rsidRPr="006B7159" w:rsidRDefault="009B7414" w:rsidP="009B7414">
      <w:pPr>
        <w:spacing w:after="0" w:line="360" w:lineRule="auto"/>
        <w:jc w:val="center"/>
        <w:rPr>
          <w:rFonts w:ascii="Times New Roman" w:hAnsi="Times New Roman" w:cs="Times New Roman"/>
          <w:sz w:val="20"/>
          <w:szCs w:val="20"/>
        </w:rPr>
      </w:pPr>
      <w:r w:rsidRPr="006B7159">
        <w:rPr>
          <w:rFonts w:ascii="Times New Roman" w:hAnsi="Times New Roman" w:cs="Times New Roman"/>
          <w:b/>
          <w:bCs/>
          <w:sz w:val="20"/>
          <w:szCs w:val="20"/>
        </w:rPr>
        <w:t xml:space="preserve">Figura 3 – </w:t>
      </w:r>
      <w:r w:rsidRPr="006B7159">
        <w:rPr>
          <w:rFonts w:ascii="Times New Roman" w:hAnsi="Times New Roman" w:cs="Times New Roman"/>
          <w:sz w:val="20"/>
          <w:szCs w:val="20"/>
        </w:rPr>
        <w:t>Correlação entre Atividade Física e Inclusão</w:t>
      </w:r>
    </w:p>
    <w:p w14:paraId="1DE5E1F9" w14:textId="77777777" w:rsidR="009B7414" w:rsidRDefault="009B7414" w:rsidP="009B7414">
      <w:pPr>
        <w:spacing w:after="0" w:line="360" w:lineRule="auto"/>
        <w:jc w:val="center"/>
        <w:rPr>
          <w:rFonts w:ascii="Times New Roman" w:hAnsi="Times New Roman" w:cs="Times New Roman"/>
          <w:sz w:val="20"/>
          <w:szCs w:val="20"/>
        </w:rPr>
      </w:pPr>
      <w:r w:rsidRPr="006B7159">
        <w:rPr>
          <w:rFonts w:ascii="Times New Roman" w:hAnsi="Times New Roman" w:cs="Times New Roman"/>
          <w:sz w:val="20"/>
          <w:szCs w:val="20"/>
        </w:rPr>
        <w:t>Fonte: Elaborado pela autora, 2023.</w:t>
      </w:r>
    </w:p>
    <w:p w14:paraId="7A8681DE" w14:textId="77777777" w:rsidR="00392FF4" w:rsidRPr="006B7159" w:rsidRDefault="00392FF4" w:rsidP="009B7414">
      <w:pPr>
        <w:spacing w:after="0" w:line="360" w:lineRule="auto"/>
        <w:jc w:val="center"/>
        <w:rPr>
          <w:rFonts w:ascii="Times New Roman" w:hAnsi="Times New Roman" w:cs="Times New Roman"/>
          <w:sz w:val="20"/>
          <w:szCs w:val="20"/>
        </w:rPr>
      </w:pPr>
    </w:p>
    <w:p w14:paraId="1BFB5E5E" w14:textId="77777777" w:rsidR="009B7414" w:rsidRPr="006B7159" w:rsidRDefault="009B7414" w:rsidP="009B7414">
      <w:pPr>
        <w:spacing w:line="360" w:lineRule="auto"/>
        <w:jc w:val="center"/>
        <w:rPr>
          <w:rFonts w:ascii="Times New Roman" w:hAnsi="Times New Roman" w:cs="Times New Roman"/>
        </w:rPr>
      </w:pPr>
      <w:r w:rsidRPr="006B7159">
        <w:rPr>
          <w:rFonts w:ascii="Times New Roman" w:hAnsi="Times New Roman" w:cs="Times New Roman"/>
          <w:noProof/>
        </w:rPr>
        <w:drawing>
          <wp:inline distT="0" distB="0" distL="0" distR="0" wp14:anchorId="79FCC229" wp14:editId="70B1889E">
            <wp:extent cx="4572000" cy="2743200"/>
            <wp:effectExtent l="0" t="0" r="0" b="0"/>
            <wp:docPr id="1210127090" name="Gráfico 1">
              <a:extLst xmlns:a="http://schemas.openxmlformats.org/drawingml/2006/main">
                <a:ext uri="{FF2B5EF4-FFF2-40B4-BE49-F238E27FC236}">
                  <a16:creationId xmlns:a16="http://schemas.microsoft.com/office/drawing/2014/main" id="{F1C34E9E-FAD4-D803-2249-F5B48087EF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600236" w14:textId="77777777" w:rsidR="009B7414" w:rsidRPr="006B7159" w:rsidRDefault="009B7414" w:rsidP="009B7414">
      <w:pPr>
        <w:spacing w:after="0" w:line="360" w:lineRule="auto"/>
        <w:jc w:val="center"/>
        <w:rPr>
          <w:rFonts w:ascii="Times New Roman" w:hAnsi="Times New Roman" w:cs="Times New Roman"/>
          <w:sz w:val="20"/>
          <w:szCs w:val="20"/>
        </w:rPr>
      </w:pPr>
      <w:r w:rsidRPr="006B7159">
        <w:rPr>
          <w:rFonts w:ascii="Times New Roman" w:hAnsi="Times New Roman" w:cs="Times New Roman"/>
          <w:b/>
          <w:bCs/>
          <w:sz w:val="20"/>
          <w:szCs w:val="20"/>
        </w:rPr>
        <w:t xml:space="preserve">Figura 4 – </w:t>
      </w:r>
      <w:r w:rsidRPr="006B7159">
        <w:rPr>
          <w:rFonts w:ascii="Times New Roman" w:hAnsi="Times New Roman" w:cs="Times New Roman"/>
          <w:sz w:val="20"/>
          <w:szCs w:val="20"/>
        </w:rPr>
        <w:t>Correlação entre Atividade Física e Domínio Interpessoal</w:t>
      </w:r>
    </w:p>
    <w:p w14:paraId="1F417EBA" w14:textId="77777777" w:rsidR="009B7414" w:rsidRPr="006B7159" w:rsidRDefault="009B7414" w:rsidP="009B7414">
      <w:pPr>
        <w:spacing w:after="0" w:line="360" w:lineRule="auto"/>
        <w:jc w:val="center"/>
        <w:rPr>
          <w:rFonts w:ascii="Times New Roman" w:hAnsi="Times New Roman" w:cs="Times New Roman"/>
          <w:sz w:val="20"/>
          <w:szCs w:val="20"/>
        </w:rPr>
      </w:pPr>
      <w:r w:rsidRPr="006B7159">
        <w:rPr>
          <w:rFonts w:ascii="Times New Roman" w:hAnsi="Times New Roman" w:cs="Times New Roman"/>
          <w:sz w:val="20"/>
          <w:szCs w:val="20"/>
        </w:rPr>
        <w:t>Fonte: Elaborado pela autora, 2023.</w:t>
      </w:r>
    </w:p>
    <w:p w14:paraId="5CE0F3D5" w14:textId="77777777" w:rsidR="009B7414" w:rsidRPr="006B7159" w:rsidRDefault="009B7414" w:rsidP="009B7414">
      <w:pPr>
        <w:spacing w:line="360" w:lineRule="auto"/>
        <w:jc w:val="center"/>
        <w:rPr>
          <w:rFonts w:ascii="Times New Roman" w:hAnsi="Times New Roman" w:cs="Times New Roman"/>
        </w:rPr>
      </w:pPr>
      <w:r w:rsidRPr="006B7159">
        <w:rPr>
          <w:rFonts w:ascii="Times New Roman" w:hAnsi="Times New Roman" w:cs="Times New Roman"/>
          <w:noProof/>
        </w:rPr>
        <w:lastRenderedPageBreak/>
        <w:drawing>
          <wp:inline distT="0" distB="0" distL="0" distR="0" wp14:anchorId="65D2FAA0" wp14:editId="69E5B53F">
            <wp:extent cx="4572000" cy="2743200"/>
            <wp:effectExtent l="0" t="0" r="0" b="0"/>
            <wp:docPr id="495424741" name="Gráfico 1">
              <a:extLst xmlns:a="http://schemas.openxmlformats.org/drawingml/2006/main">
                <a:ext uri="{FF2B5EF4-FFF2-40B4-BE49-F238E27FC236}">
                  <a16:creationId xmlns:a16="http://schemas.microsoft.com/office/drawing/2014/main" id="{70460263-C77E-65BF-70D9-F45EA3DBC0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F71CED" w14:textId="77777777" w:rsidR="009B7414" w:rsidRPr="006B7159" w:rsidRDefault="009B7414" w:rsidP="009B7414">
      <w:pPr>
        <w:spacing w:after="0" w:line="360" w:lineRule="auto"/>
        <w:jc w:val="center"/>
        <w:rPr>
          <w:rFonts w:ascii="Times New Roman" w:hAnsi="Times New Roman" w:cs="Times New Roman"/>
          <w:sz w:val="20"/>
          <w:szCs w:val="20"/>
        </w:rPr>
      </w:pPr>
      <w:r w:rsidRPr="006B7159">
        <w:rPr>
          <w:rFonts w:ascii="Times New Roman" w:hAnsi="Times New Roman" w:cs="Times New Roman"/>
          <w:b/>
          <w:bCs/>
          <w:sz w:val="20"/>
          <w:szCs w:val="20"/>
        </w:rPr>
        <w:t xml:space="preserve">Figura 5 – </w:t>
      </w:r>
      <w:r w:rsidRPr="006B7159">
        <w:rPr>
          <w:rFonts w:ascii="Times New Roman" w:hAnsi="Times New Roman" w:cs="Times New Roman"/>
          <w:sz w:val="20"/>
          <w:szCs w:val="20"/>
        </w:rPr>
        <w:t>Correlação entre Atividade Física e Domínio Sonhos/Oportunidades</w:t>
      </w:r>
    </w:p>
    <w:p w14:paraId="6F1D952C" w14:textId="77777777" w:rsidR="009B7414" w:rsidRPr="006B7159" w:rsidRDefault="009B7414" w:rsidP="009B7414">
      <w:pPr>
        <w:spacing w:after="0" w:line="360" w:lineRule="auto"/>
        <w:jc w:val="center"/>
        <w:rPr>
          <w:rFonts w:ascii="Times New Roman" w:hAnsi="Times New Roman" w:cs="Times New Roman"/>
          <w:sz w:val="20"/>
          <w:szCs w:val="20"/>
        </w:rPr>
      </w:pPr>
      <w:r w:rsidRPr="006B7159">
        <w:rPr>
          <w:rFonts w:ascii="Times New Roman" w:hAnsi="Times New Roman" w:cs="Times New Roman"/>
          <w:sz w:val="20"/>
          <w:szCs w:val="20"/>
        </w:rPr>
        <w:t>Fonte: Elaborado pela autora, 2023.</w:t>
      </w:r>
    </w:p>
    <w:p w14:paraId="5CF0BA76" w14:textId="77777777" w:rsidR="009B7414" w:rsidRPr="006B7159" w:rsidRDefault="009B7414" w:rsidP="009B7414">
      <w:pPr>
        <w:spacing w:after="0" w:line="360" w:lineRule="auto"/>
        <w:jc w:val="center"/>
        <w:rPr>
          <w:rFonts w:ascii="Times New Roman" w:hAnsi="Times New Roman" w:cs="Times New Roman"/>
          <w:sz w:val="20"/>
          <w:szCs w:val="20"/>
        </w:rPr>
      </w:pPr>
    </w:p>
    <w:p w14:paraId="4592BEC5" w14:textId="2B855E86" w:rsidR="006B7159" w:rsidRDefault="009B7414" w:rsidP="00F625B0">
      <w:pPr>
        <w:spacing w:line="360" w:lineRule="auto"/>
        <w:jc w:val="both"/>
        <w:rPr>
          <w:rFonts w:ascii="Times New Roman" w:hAnsi="Times New Roman" w:cs="Times New Roman"/>
        </w:rPr>
      </w:pPr>
      <w:r w:rsidRPr="006B7159">
        <w:rPr>
          <w:rFonts w:ascii="Times New Roman" w:hAnsi="Times New Roman" w:cs="Times New Roman"/>
        </w:rPr>
        <w:t xml:space="preserve">Em relação a cognição, </w:t>
      </w:r>
      <w:r w:rsidR="00F45D8F" w:rsidRPr="006B7159">
        <w:rPr>
          <w:rFonts w:ascii="Times New Roman" w:hAnsi="Times New Roman" w:cs="Times New Roman"/>
        </w:rPr>
        <w:t xml:space="preserve">a </w:t>
      </w:r>
      <w:r w:rsidRPr="006B7159">
        <w:rPr>
          <w:rFonts w:ascii="Times New Roman" w:hAnsi="Times New Roman" w:cs="Times New Roman"/>
        </w:rPr>
        <w:t>média dos scores não apresentaram diferença significante.</w:t>
      </w:r>
      <w:r w:rsidR="00F625B0">
        <w:rPr>
          <w:rFonts w:ascii="Times New Roman" w:hAnsi="Times New Roman" w:cs="Times New Roman"/>
        </w:rPr>
        <w:t xml:space="preserve"> </w:t>
      </w:r>
      <w:r w:rsidR="009D51BB">
        <w:rPr>
          <w:rFonts w:ascii="Times New Roman" w:hAnsi="Times New Roman" w:cs="Times New Roman"/>
        </w:rPr>
        <w:t>A</w:t>
      </w:r>
      <w:r w:rsidR="00F625B0" w:rsidRPr="006B7159">
        <w:rPr>
          <w:rFonts w:ascii="Times New Roman" w:hAnsi="Times New Roman" w:cs="Times New Roman"/>
        </w:rPr>
        <w:t>mbos os grupos estão em uma classificação normal desta variável.</w:t>
      </w:r>
      <w:r w:rsidR="00F625B0">
        <w:rPr>
          <w:rFonts w:ascii="Times New Roman" w:hAnsi="Times New Roman" w:cs="Times New Roman"/>
        </w:rPr>
        <w:t xml:space="preserve"> </w:t>
      </w:r>
      <w:r w:rsidRPr="006B7159">
        <w:rPr>
          <w:rFonts w:ascii="Times New Roman" w:hAnsi="Times New Roman" w:cs="Times New Roman"/>
        </w:rPr>
        <w:t xml:space="preserve"> Porém, é importante ressaltar que nem todos os responsáveis responderam o CBCL, sendo no GS (n=4) e GA (n=4).</w:t>
      </w:r>
    </w:p>
    <w:p w14:paraId="1E5D58FD" w14:textId="77777777" w:rsidR="00F625B0" w:rsidRPr="006B7159" w:rsidRDefault="00F625B0" w:rsidP="00F625B0">
      <w:pPr>
        <w:spacing w:line="360" w:lineRule="auto"/>
        <w:jc w:val="both"/>
        <w:rPr>
          <w:rFonts w:ascii="Times New Roman" w:hAnsi="Times New Roman" w:cs="Times New Roman"/>
        </w:rPr>
      </w:pPr>
    </w:p>
    <w:p w14:paraId="7904ED14" w14:textId="0D81C66C" w:rsidR="009B7414" w:rsidRPr="006B7159" w:rsidRDefault="006B7159" w:rsidP="00570359">
      <w:pPr>
        <w:spacing w:after="120" w:line="360" w:lineRule="auto"/>
        <w:jc w:val="both"/>
        <w:rPr>
          <w:rFonts w:ascii="Times New Roman" w:hAnsi="Times New Roman" w:cs="Times New Roman"/>
          <w:b/>
        </w:rPr>
      </w:pPr>
      <w:r w:rsidRPr="006B7159">
        <w:rPr>
          <w:rFonts w:ascii="Times New Roman" w:hAnsi="Times New Roman" w:cs="Times New Roman"/>
          <w:b/>
        </w:rPr>
        <w:t>CONCLUSÕES</w:t>
      </w:r>
    </w:p>
    <w:p w14:paraId="648DEBF0" w14:textId="338BC28C" w:rsidR="006B7159" w:rsidRPr="006B7159" w:rsidRDefault="006B7159" w:rsidP="006B7159">
      <w:pPr>
        <w:spacing w:after="0" w:line="360" w:lineRule="auto"/>
        <w:jc w:val="both"/>
        <w:rPr>
          <w:rFonts w:ascii="Times New Roman" w:hAnsi="Times New Roman" w:cs="Times New Roman"/>
        </w:rPr>
      </w:pPr>
      <w:r w:rsidRPr="006B7159">
        <w:rPr>
          <w:rFonts w:ascii="Times New Roman" w:hAnsi="Times New Roman" w:cs="Times New Roman"/>
        </w:rPr>
        <w:t>Os resultados do presente estudo demonstraram que o TEA pode gerar um prejuízo na qualidade de vida dos jovens, e a prática de atividade física pode ser uma alternativa para o manejo positivo dessa população com crescente prevalência mundial.</w:t>
      </w:r>
    </w:p>
    <w:p w14:paraId="03378B6C" w14:textId="77777777" w:rsidR="00517C08" w:rsidRDefault="00517C08" w:rsidP="00517C08">
      <w:pPr>
        <w:spacing w:after="120"/>
        <w:jc w:val="center"/>
        <w:rPr>
          <w:rFonts w:ascii="Times New Roman" w:hAnsi="Times New Roman" w:cs="Times New Roman"/>
        </w:rPr>
      </w:pPr>
    </w:p>
    <w:p w14:paraId="2060E4EE" w14:textId="77D3A585" w:rsidR="006B7159" w:rsidRDefault="006B7159" w:rsidP="006B7159">
      <w:pPr>
        <w:rPr>
          <w:rFonts w:ascii="Times New Roman" w:hAnsi="Times New Roman" w:cs="Times New Roman"/>
        </w:rPr>
      </w:pPr>
      <w:r w:rsidRPr="009E38EE">
        <w:rPr>
          <w:rFonts w:ascii="Times New Roman" w:hAnsi="Times New Roman" w:cs="Times New Roman"/>
          <w:b/>
        </w:rPr>
        <w:t>REFERÊNCIAS</w:t>
      </w:r>
    </w:p>
    <w:p w14:paraId="3DF6A954" w14:textId="77777777" w:rsidR="00F625B0" w:rsidRDefault="00F625B0" w:rsidP="00F625B0">
      <w:pPr>
        <w:spacing w:line="360" w:lineRule="auto"/>
        <w:jc w:val="both"/>
        <w:rPr>
          <w:rFonts w:ascii="Times New Roman" w:hAnsi="Times New Roman" w:cs="Times New Roman"/>
        </w:rPr>
      </w:pPr>
      <w:r w:rsidRPr="00576292">
        <w:rPr>
          <w:rFonts w:ascii="Times New Roman" w:hAnsi="Times New Roman" w:cs="Times New Roman"/>
        </w:rPr>
        <w:t xml:space="preserve">ACHENBACH, T. M.; RUFFLE, T. M.. </w:t>
      </w:r>
      <w:r w:rsidRPr="00F625B0">
        <w:rPr>
          <w:rFonts w:ascii="Times New Roman" w:hAnsi="Times New Roman" w:cs="Times New Roman"/>
          <w:lang w:val="en-US"/>
        </w:rPr>
        <w:t xml:space="preserve">The Child Behavior Checklist and related forms for assessing behavioral/emotional problems and competencies. </w:t>
      </w:r>
      <w:proofErr w:type="spellStart"/>
      <w:r w:rsidRPr="00F625B0">
        <w:rPr>
          <w:rFonts w:ascii="Times New Roman" w:hAnsi="Times New Roman" w:cs="Times New Roman"/>
          <w:b/>
          <w:bCs/>
        </w:rPr>
        <w:t>Pediatrics</w:t>
      </w:r>
      <w:proofErr w:type="spellEnd"/>
      <w:r w:rsidRPr="00F625B0">
        <w:rPr>
          <w:rFonts w:ascii="Times New Roman" w:hAnsi="Times New Roman" w:cs="Times New Roman"/>
          <w:b/>
          <w:bCs/>
        </w:rPr>
        <w:t xml:space="preserve"> in review</w:t>
      </w:r>
      <w:r w:rsidRPr="00F625B0">
        <w:rPr>
          <w:rFonts w:ascii="Times New Roman" w:hAnsi="Times New Roman" w:cs="Times New Roman"/>
        </w:rPr>
        <w:t>, Burlington, v. 21, n. 8, p. 265-271, 2000.</w:t>
      </w:r>
    </w:p>
    <w:p w14:paraId="3D0292D0" w14:textId="217FC6B4" w:rsidR="006B7159" w:rsidRPr="00B5425F" w:rsidRDefault="006B7159" w:rsidP="00F625B0">
      <w:pPr>
        <w:spacing w:line="360" w:lineRule="auto"/>
        <w:jc w:val="both"/>
        <w:rPr>
          <w:rFonts w:ascii="Times New Roman" w:hAnsi="Times New Roman" w:cs="Times New Roman"/>
        </w:rPr>
      </w:pPr>
      <w:r w:rsidRPr="00B5425F">
        <w:rPr>
          <w:rFonts w:ascii="Times New Roman" w:hAnsi="Times New Roman" w:cs="Times New Roman"/>
        </w:rPr>
        <w:t xml:space="preserve">ALVES, F.R.F. </w:t>
      </w:r>
      <w:r w:rsidRPr="001D4DE0">
        <w:rPr>
          <w:rFonts w:ascii="Times New Roman" w:hAnsi="Times New Roman" w:cs="Times New Roman"/>
          <w:b/>
          <w:bCs/>
        </w:rPr>
        <w:t>Desafios e mudanças: Uma proposta de programa de exercícios físicos para crianças com transtorno do espectro do autismo (TEA)</w:t>
      </w:r>
      <w:r w:rsidRPr="00B5425F">
        <w:rPr>
          <w:rFonts w:ascii="Times New Roman" w:hAnsi="Times New Roman" w:cs="Times New Roman"/>
        </w:rPr>
        <w:t>. Dissertação de Mestrado. Universidade Federal de Juiz de Fora. Juiz de Fora, 2014.</w:t>
      </w:r>
    </w:p>
    <w:p w14:paraId="26C70AAF" w14:textId="77777777" w:rsidR="006B7159" w:rsidRPr="00101772" w:rsidRDefault="006B7159" w:rsidP="00F625B0">
      <w:pPr>
        <w:spacing w:line="360" w:lineRule="auto"/>
        <w:jc w:val="both"/>
        <w:rPr>
          <w:rFonts w:ascii="Times New Roman" w:hAnsi="Times New Roman" w:cs="Times New Roman"/>
          <w:lang w:val="en-US"/>
        </w:rPr>
      </w:pPr>
      <w:r w:rsidRPr="00B5425F">
        <w:rPr>
          <w:rFonts w:ascii="Times New Roman" w:hAnsi="Times New Roman" w:cs="Times New Roman"/>
          <w:lang w:val="en-US"/>
        </w:rPr>
        <w:t xml:space="preserve">APA-AMERICAN PSYCHIATRIC ASSOCIATION. DSM-5. </w:t>
      </w:r>
      <w:r w:rsidRPr="00B5425F">
        <w:rPr>
          <w:rFonts w:ascii="Times New Roman" w:hAnsi="Times New Roman" w:cs="Times New Roman"/>
        </w:rPr>
        <w:t xml:space="preserve">Manual Diagnóstico e Estatístico de Transtornos Mentais. </w:t>
      </w:r>
      <w:r w:rsidRPr="00101772">
        <w:rPr>
          <w:rFonts w:ascii="Times New Roman" w:hAnsi="Times New Roman" w:cs="Times New Roman"/>
          <w:lang w:val="en-US"/>
        </w:rPr>
        <w:t>Porto Alegre: ARTMED. 5. ed. 2014.</w:t>
      </w:r>
    </w:p>
    <w:p w14:paraId="153C264F" w14:textId="77777777" w:rsidR="00F625B0" w:rsidRDefault="00F625B0" w:rsidP="00F625B0">
      <w:pPr>
        <w:spacing w:line="360" w:lineRule="auto"/>
        <w:jc w:val="both"/>
        <w:rPr>
          <w:rFonts w:ascii="Times New Roman" w:hAnsi="Times New Roman" w:cs="Times New Roman"/>
          <w:lang w:val="en-US"/>
        </w:rPr>
      </w:pPr>
      <w:r w:rsidRPr="00F625B0">
        <w:rPr>
          <w:rFonts w:ascii="Times New Roman" w:hAnsi="Times New Roman" w:cs="Times New Roman"/>
          <w:lang w:val="en-US"/>
        </w:rPr>
        <w:lastRenderedPageBreak/>
        <w:t xml:space="preserve">MATTHEWS, L. et al. Agreement of accelerometer and a physical activity questionnaire in adults with intellectual disabilities. </w:t>
      </w:r>
      <w:r w:rsidRPr="00F625B0">
        <w:rPr>
          <w:rFonts w:ascii="Times New Roman" w:hAnsi="Times New Roman" w:cs="Times New Roman"/>
          <w:b/>
          <w:bCs/>
          <w:lang w:val="en-US"/>
        </w:rPr>
        <w:t>Preventive Medicine</w:t>
      </w:r>
      <w:r w:rsidRPr="00F625B0">
        <w:rPr>
          <w:rFonts w:ascii="Times New Roman" w:hAnsi="Times New Roman" w:cs="Times New Roman"/>
          <w:lang w:val="en-US"/>
        </w:rPr>
        <w:t>, v. 52, n. 5, p. 361–364, 2011.</w:t>
      </w:r>
    </w:p>
    <w:p w14:paraId="45FA26BC" w14:textId="2B3E6F2F" w:rsidR="00F625B0" w:rsidRDefault="00F625B0" w:rsidP="00F625B0">
      <w:pPr>
        <w:spacing w:line="360" w:lineRule="auto"/>
        <w:jc w:val="both"/>
        <w:rPr>
          <w:rFonts w:ascii="Times New Roman" w:hAnsi="Times New Roman" w:cs="Times New Roman"/>
          <w:lang w:val="en-US"/>
        </w:rPr>
      </w:pPr>
      <w:r w:rsidRPr="00F625B0">
        <w:rPr>
          <w:rFonts w:ascii="Times New Roman" w:hAnsi="Times New Roman" w:cs="Times New Roman"/>
          <w:lang w:val="en-US"/>
        </w:rPr>
        <w:t xml:space="preserve">MATSUZAKI, H. et al. Triggers for Autism: Genetic and Environmental Factors. </w:t>
      </w:r>
      <w:r w:rsidRPr="00F625B0">
        <w:rPr>
          <w:rFonts w:ascii="Times New Roman" w:hAnsi="Times New Roman" w:cs="Times New Roman"/>
          <w:b/>
          <w:bCs/>
          <w:lang w:val="en-US"/>
        </w:rPr>
        <w:t>Journal of Central Nervous System Disease</w:t>
      </w:r>
      <w:r w:rsidRPr="00F625B0">
        <w:rPr>
          <w:rFonts w:ascii="Times New Roman" w:hAnsi="Times New Roman" w:cs="Times New Roman"/>
          <w:lang w:val="en-US"/>
        </w:rPr>
        <w:t>, 2012.</w:t>
      </w:r>
    </w:p>
    <w:p w14:paraId="5B3679E7" w14:textId="77777777" w:rsidR="00F625B0" w:rsidRDefault="00F625B0" w:rsidP="00F625B0">
      <w:pPr>
        <w:spacing w:line="360" w:lineRule="auto"/>
        <w:jc w:val="both"/>
        <w:rPr>
          <w:rFonts w:ascii="Times New Roman" w:hAnsi="Times New Roman" w:cs="Times New Roman"/>
        </w:rPr>
      </w:pPr>
      <w:r w:rsidRPr="00F625B0">
        <w:rPr>
          <w:rFonts w:ascii="Times New Roman" w:hAnsi="Times New Roman" w:cs="Times New Roman"/>
          <w:lang w:val="en-US"/>
        </w:rPr>
        <w:t xml:space="preserve">PAN, C.-Y. et al. The impacts of physical activity intervention on physical and cognitive outcomes in children with autism spectrum disorder. </w:t>
      </w:r>
      <w:proofErr w:type="spellStart"/>
      <w:r w:rsidRPr="00F625B0">
        <w:rPr>
          <w:rFonts w:ascii="Times New Roman" w:hAnsi="Times New Roman" w:cs="Times New Roman"/>
          <w:b/>
          <w:bCs/>
        </w:rPr>
        <w:t>Autism</w:t>
      </w:r>
      <w:proofErr w:type="spellEnd"/>
      <w:r w:rsidRPr="00F625B0">
        <w:rPr>
          <w:rFonts w:ascii="Times New Roman" w:hAnsi="Times New Roman" w:cs="Times New Roman"/>
        </w:rPr>
        <w:t>, v. 21, n. 2, p. 190–202, 2016.</w:t>
      </w:r>
    </w:p>
    <w:p w14:paraId="06D5528B" w14:textId="253EF2A2" w:rsidR="006B7159" w:rsidRPr="00B5425F" w:rsidRDefault="006B7159" w:rsidP="00F625B0">
      <w:pPr>
        <w:spacing w:line="360" w:lineRule="auto"/>
        <w:jc w:val="both"/>
        <w:rPr>
          <w:rFonts w:ascii="Times New Roman" w:hAnsi="Times New Roman" w:cs="Times New Roman"/>
        </w:rPr>
      </w:pPr>
      <w:r w:rsidRPr="00B5425F">
        <w:rPr>
          <w:rFonts w:ascii="Times New Roman" w:hAnsi="Times New Roman" w:cs="Times New Roman"/>
        </w:rPr>
        <w:t xml:space="preserve">POSAR, A; VISCONTI, P. Autismo em 2016: necessidade de respostas. </w:t>
      </w:r>
      <w:r w:rsidRPr="00CF36D0">
        <w:rPr>
          <w:rFonts w:ascii="Times New Roman" w:hAnsi="Times New Roman" w:cs="Times New Roman"/>
          <w:b/>
          <w:bCs/>
        </w:rPr>
        <w:t>Jornal de Pediatria</w:t>
      </w:r>
      <w:r w:rsidRPr="00B5425F">
        <w:rPr>
          <w:rFonts w:ascii="Times New Roman" w:hAnsi="Times New Roman" w:cs="Times New Roman"/>
        </w:rPr>
        <w:t>. Porto Alegre, v. 93, n. 2, p. 111-119, 2017.</w:t>
      </w:r>
    </w:p>
    <w:p w14:paraId="40CC6441" w14:textId="77777777" w:rsidR="006B7159" w:rsidRPr="00B5425F" w:rsidRDefault="006B7159" w:rsidP="00F625B0">
      <w:pPr>
        <w:spacing w:line="360" w:lineRule="auto"/>
        <w:jc w:val="both"/>
        <w:rPr>
          <w:rFonts w:ascii="Times New Roman" w:hAnsi="Times New Roman" w:cs="Times New Roman"/>
        </w:rPr>
      </w:pPr>
      <w:r w:rsidRPr="00B5425F">
        <w:rPr>
          <w:rFonts w:ascii="Times New Roman" w:hAnsi="Times New Roman" w:cs="Times New Roman"/>
        </w:rPr>
        <w:t>SCHWARTZMAN, J. S. Transtornos do Espectro do Autismo: Conceito e generalidades In: SCHWARTZMAN &amp; ARAÚJO, C. A. de (</w:t>
      </w:r>
      <w:proofErr w:type="spellStart"/>
      <w:r w:rsidRPr="00B5425F">
        <w:rPr>
          <w:rFonts w:ascii="Times New Roman" w:hAnsi="Times New Roman" w:cs="Times New Roman"/>
        </w:rPr>
        <w:t>orgs</w:t>
      </w:r>
      <w:proofErr w:type="spellEnd"/>
      <w:r w:rsidRPr="00B5425F">
        <w:rPr>
          <w:rFonts w:ascii="Times New Roman" w:hAnsi="Times New Roman" w:cs="Times New Roman"/>
        </w:rPr>
        <w:t xml:space="preserve">.). </w:t>
      </w:r>
      <w:r w:rsidRPr="00CF36D0">
        <w:rPr>
          <w:rFonts w:ascii="Times New Roman" w:hAnsi="Times New Roman" w:cs="Times New Roman"/>
          <w:b/>
          <w:bCs/>
        </w:rPr>
        <w:t>Transtornos do Espectro do Autismo</w:t>
      </w:r>
      <w:r w:rsidRPr="00B5425F">
        <w:rPr>
          <w:rFonts w:ascii="Times New Roman" w:hAnsi="Times New Roman" w:cs="Times New Roman"/>
        </w:rPr>
        <w:t xml:space="preserve">. São Paulo: </w:t>
      </w:r>
      <w:proofErr w:type="spellStart"/>
      <w:r w:rsidRPr="00B5425F">
        <w:rPr>
          <w:rFonts w:ascii="Times New Roman" w:hAnsi="Times New Roman" w:cs="Times New Roman"/>
        </w:rPr>
        <w:t>Mennon</w:t>
      </w:r>
      <w:proofErr w:type="spellEnd"/>
      <w:r w:rsidRPr="00B5425F">
        <w:rPr>
          <w:rFonts w:ascii="Times New Roman" w:hAnsi="Times New Roman" w:cs="Times New Roman"/>
        </w:rPr>
        <w:t>. p 37-42. 2011.</w:t>
      </w:r>
    </w:p>
    <w:p w14:paraId="7C2EEF92" w14:textId="77777777" w:rsidR="006B7159" w:rsidRPr="00101772" w:rsidRDefault="006B7159" w:rsidP="00F625B0">
      <w:pPr>
        <w:spacing w:line="360" w:lineRule="auto"/>
        <w:jc w:val="both"/>
        <w:rPr>
          <w:rFonts w:ascii="Times New Roman" w:hAnsi="Times New Roman" w:cs="Times New Roman"/>
          <w:lang w:val="en-US"/>
        </w:rPr>
      </w:pPr>
      <w:r w:rsidRPr="00101772">
        <w:rPr>
          <w:rFonts w:ascii="Times New Roman" w:hAnsi="Times New Roman" w:cs="Times New Roman"/>
        </w:rPr>
        <w:t xml:space="preserve">THE WHOQOL-DIS-GROUP. </w:t>
      </w:r>
      <w:r w:rsidRPr="00A460C6">
        <w:rPr>
          <w:rFonts w:ascii="Times New Roman" w:hAnsi="Times New Roman" w:cs="Times New Roman"/>
          <w:b/>
          <w:bCs/>
          <w:lang w:val="en-US"/>
        </w:rPr>
        <w:t>WHOQOL - Disabilities module manual</w:t>
      </w:r>
      <w:r w:rsidRPr="00B5425F">
        <w:rPr>
          <w:rFonts w:ascii="Times New Roman" w:hAnsi="Times New Roman" w:cs="Times New Roman"/>
          <w:lang w:val="en-US"/>
        </w:rPr>
        <w:t xml:space="preserve">. </w:t>
      </w:r>
      <w:r w:rsidRPr="00101772">
        <w:rPr>
          <w:rFonts w:ascii="Times New Roman" w:hAnsi="Times New Roman" w:cs="Times New Roman"/>
          <w:lang w:val="en-US"/>
        </w:rPr>
        <w:t>Genebra: World Health Organization, 2011.</w:t>
      </w:r>
    </w:p>
    <w:p w14:paraId="2FA9ABB3" w14:textId="77777777" w:rsidR="006B7159" w:rsidRDefault="006B7159" w:rsidP="00F625B0">
      <w:pPr>
        <w:spacing w:line="360" w:lineRule="auto"/>
        <w:jc w:val="both"/>
        <w:rPr>
          <w:rFonts w:ascii="Times New Roman" w:hAnsi="Times New Roman" w:cs="Times New Roman"/>
        </w:rPr>
      </w:pPr>
      <w:r w:rsidRPr="00B5425F">
        <w:rPr>
          <w:rFonts w:ascii="Times New Roman" w:hAnsi="Times New Roman" w:cs="Times New Roman"/>
          <w:lang w:val="en-US"/>
        </w:rPr>
        <w:t xml:space="preserve">THE WHOQOL GROUP. </w:t>
      </w:r>
      <w:r w:rsidRPr="00A460C6">
        <w:rPr>
          <w:rFonts w:ascii="Times New Roman" w:hAnsi="Times New Roman" w:cs="Times New Roman"/>
          <w:b/>
          <w:bCs/>
          <w:lang w:val="en-US"/>
        </w:rPr>
        <w:t>WHOQOL-</w:t>
      </w:r>
      <w:proofErr w:type="spellStart"/>
      <w:r w:rsidRPr="00A460C6">
        <w:rPr>
          <w:rFonts w:ascii="Times New Roman" w:hAnsi="Times New Roman" w:cs="Times New Roman"/>
          <w:b/>
          <w:bCs/>
          <w:lang w:val="en-US"/>
        </w:rPr>
        <w:t>bref</w:t>
      </w:r>
      <w:proofErr w:type="spellEnd"/>
      <w:r w:rsidRPr="00B5425F">
        <w:rPr>
          <w:rFonts w:ascii="Times New Roman" w:hAnsi="Times New Roman" w:cs="Times New Roman"/>
          <w:lang w:val="en-US"/>
        </w:rPr>
        <w:t xml:space="preserve">: introduction, administration, scoring and generic version of assessment. </w:t>
      </w:r>
      <w:r w:rsidRPr="00B5425F">
        <w:rPr>
          <w:rFonts w:ascii="Times New Roman" w:hAnsi="Times New Roman" w:cs="Times New Roman"/>
        </w:rPr>
        <w:t xml:space="preserve">Genebra: World Health </w:t>
      </w:r>
      <w:proofErr w:type="spellStart"/>
      <w:r w:rsidRPr="008B321D">
        <w:rPr>
          <w:rFonts w:ascii="Times New Roman" w:hAnsi="Times New Roman" w:cs="Times New Roman"/>
        </w:rPr>
        <w:t>Organization</w:t>
      </w:r>
      <w:proofErr w:type="spellEnd"/>
      <w:r w:rsidRPr="00B5425F">
        <w:rPr>
          <w:rFonts w:ascii="Times New Roman" w:hAnsi="Times New Roman" w:cs="Times New Roman"/>
        </w:rPr>
        <w:t>, 1996.</w:t>
      </w:r>
    </w:p>
    <w:p w14:paraId="1B2CCF04" w14:textId="77777777" w:rsidR="006B7159" w:rsidRPr="00B5425F" w:rsidRDefault="006B7159" w:rsidP="006B7159">
      <w:pPr>
        <w:spacing w:after="0" w:line="240" w:lineRule="auto"/>
        <w:jc w:val="both"/>
        <w:rPr>
          <w:rFonts w:ascii="Times New Roman" w:hAnsi="Times New Roman" w:cs="Times New Roman"/>
        </w:rPr>
      </w:pPr>
    </w:p>
    <w:p w14:paraId="210E8FE4" w14:textId="77777777" w:rsidR="006B7159" w:rsidRPr="00B5425F" w:rsidRDefault="006B7159" w:rsidP="006B7159">
      <w:pPr>
        <w:spacing w:after="0" w:line="360" w:lineRule="auto"/>
        <w:jc w:val="both"/>
        <w:rPr>
          <w:rFonts w:ascii="Times New Roman" w:hAnsi="Times New Roman" w:cs="Times New Roman"/>
        </w:rPr>
      </w:pPr>
      <w:r w:rsidRPr="009E38EE">
        <w:rPr>
          <w:rFonts w:ascii="Times New Roman" w:hAnsi="Times New Roman" w:cs="Times New Roman"/>
          <w:b/>
        </w:rPr>
        <w:t>FOMENTO</w:t>
      </w:r>
    </w:p>
    <w:p w14:paraId="1D240F3E" w14:textId="33C33D26" w:rsidR="008844C8" w:rsidRDefault="006B7159" w:rsidP="006B7159">
      <w:pPr>
        <w:spacing w:line="360" w:lineRule="auto"/>
        <w:jc w:val="both"/>
      </w:pPr>
      <w:r w:rsidRPr="009E38EE">
        <w:rPr>
          <w:rFonts w:ascii="Times New Roman" w:hAnsi="Times New Roman" w:cs="Times New Roman"/>
        </w:rPr>
        <w:t>O trabalho teve a concessão de Bolsa pelo Programa Institucional de Bolsas de Iniciação Tecnológica e Inovação (PIBITI), do Conselho Nacional de Desenvolvimento Científico e Tecnológico (CNPq).</w:t>
      </w:r>
    </w:p>
    <w:sectPr w:rsidR="008844C8" w:rsidSect="00576292">
      <w:footerReference w:type="first" r:id="rId15"/>
      <w:pgSz w:w="11920" w:h="16840"/>
      <w:pgMar w:top="1701" w:right="1134" w:bottom="1134"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A1C8" w14:textId="77777777" w:rsidR="004B0E1D" w:rsidRDefault="004B0E1D" w:rsidP="00576292">
      <w:pPr>
        <w:spacing w:after="0" w:line="240" w:lineRule="auto"/>
      </w:pPr>
      <w:r>
        <w:separator/>
      </w:r>
    </w:p>
  </w:endnote>
  <w:endnote w:type="continuationSeparator" w:id="0">
    <w:p w14:paraId="60669830" w14:textId="77777777" w:rsidR="004B0E1D" w:rsidRDefault="004B0E1D" w:rsidP="0057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B48B" w14:textId="77A783F6" w:rsidR="00576292" w:rsidRDefault="00576292">
    <w:pPr>
      <w:pStyle w:val="Rodap"/>
      <w:rPr>
        <w:rFonts w:ascii="Times New Roman" w:hAnsi="Times New Roman" w:cs="Times New Roman"/>
        <w:sz w:val="20"/>
        <w:szCs w:val="20"/>
      </w:rPr>
    </w:pPr>
    <w:r w:rsidRPr="00576292">
      <w:rPr>
        <w:rFonts w:ascii="Times New Roman" w:hAnsi="Times New Roman" w:cs="Times New Roman"/>
        <w:sz w:val="20"/>
        <w:szCs w:val="20"/>
      </w:rPr>
      <w:t>1-Acadêmic</w:t>
    </w:r>
    <w:r>
      <w:rPr>
        <w:rFonts w:ascii="Times New Roman" w:hAnsi="Times New Roman" w:cs="Times New Roman"/>
        <w:sz w:val="20"/>
        <w:szCs w:val="20"/>
      </w:rPr>
      <w:t>a</w:t>
    </w:r>
    <w:r w:rsidRPr="00576292">
      <w:rPr>
        <w:rFonts w:ascii="Times New Roman" w:hAnsi="Times New Roman" w:cs="Times New Roman"/>
        <w:sz w:val="20"/>
        <w:szCs w:val="20"/>
      </w:rPr>
      <w:t xml:space="preserve"> de </w:t>
    </w:r>
    <w:r>
      <w:rPr>
        <w:rFonts w:ascii="Times New Roman" w:hAnsi="Times New Roman" w:cs="Times New Roman"/>
        <w:sz w:val="20"/>
        <w:szCs w:val="20"/>
      </w:rPr>
      <w:t xml:space="preserve">Biomedicina – </w:t>
    </w:r>
    <w:r w:rsidRPr="00576292">
      <w:rPr>
        <w:rFonts w:ascii="Times New Roman" w:hAnsi="Times New Roman" w:cs="Times New Roman"/>
        <w:sz w:val="20"/>
        <w:szCs w:val="20"/>
      </w:rPr>
      <w:t>USJT</w:t>
    </w:r>
    <w:r>
      <w:rPr>
        <w:rFonts w:ascii="Times New Roman" w:hAnsi="Times New Roman" w:cs="Times New Roman"/>
        <w:sz w:val="20"/>
        <w:szCs w:val="20"/>
      </w:rPr>
      <w:t xml:space="preserve">, </w:t>
    </w:r>
    <w:r w:rsidRPr="0016109D">
      <w:rPr>
        <w:rFonts w:ascii="Times New Roman" w:hAnsi="Times New Roman" w:cs="Times New Roman"/>
        <w:sz w:val="20"/>
        <w:szCs w:val="20"/>
      </w:rPr>
      <w:t>giuliadcosta@gmail.com</w:t>
    </w:r>
    <w:r>
      <w:rPr>
        <w:rFonts w:ascii="Times New Roman" w:hAnsi="Times New Roman" w:cs="Times New Roman"/>
        <w:sz w:val="20"/>
        <w:szCs w:val="20"/>
      </w:rPr>
      <w:t>;</w:t>
    </w:r>
  </w:p>
  <w:p w14:paraId="3360928E" w14:textId="48F1C554" w:rsidR="00576292" w:rsidRDefault="00576292">
    <w:pPr>
      <w:pStyle w:val="Rodap"/>
      <w:rPr>
        <w:rFonts w:ascii="Times New Roman" w:hAnsi="Times New Roman" w:cs="Times New Roman"/>
        <w:sz w:val="20"/>
        <w:szCs w:val="20"/>
      </w:rPr>
    </w:pPr>
    <w:r w:rsidRPr="00576292">
      <w:rPr>
        <w:rFonts w:ascii="Times New Roman" w:hAnsi="Times New Roman" w:cs="Times New Roman"/>
        <w:sz w:val="20"/>
        <w:szCs w:val="20"/>
      </w:rPr>
      <w:t>2-Acadêmico de Educação Física</w:t>
    </w:r>
    <w:r>
      <w:rPr>
        <w:rFonts w:ascii="Times New Roman" w:hAnsi="Times New Roman" w:cs="Times New Roman"/>
        <w:sz w:val="20"/>
        <w:szCs w:val="20"/>
      </w:rPr>
      <w:t xml:space="preserve"> – </w:t>
    </w:r>
    <w:r w:rsidRPr="00576292">
      <w:rPr>
        <w:rFonts w:ascii="Times New Roman" w:hAnsi="Times New Roman" w:cs="Times New Roman"/>
        <w:sz w:val="20"/>
        <w:szCs w:val="20"/>
      </w:rPr>
      <w:t>UNICID</w:t>
    </w:r>
    <w:r>
      <w:rPr>
        <w:rFonts w:ascii="Times New Roman" w:hAnsi="Times New Roman" w:cs="Times New Roman"/>
        <w:sz w:val="20"/>
        <w:szCs w:val="20"/>
      </w:rPr>
      <w:t xml:space="preserve">, </w:t>
    </w:r>
    <w:r w:rsidRPr="0016109D">
      <w:rPr>
        <w:rFonts w:ascii="Times New Roman" w:hAnsi="Times New Roman" w:cs="Times New Roman"/>
        <w:sz w:val="20"/>
        <w:szCs w:val="20"/>
      </w:rPr>
      <w:t>fabmatrone34@gmail.com</w:t>
    </w:r>
    <w:r>
      <w:rPr>
        <w:rFonts w:ascii="Times New Roman" w:hAnsi="Times New Roman" w:cs="Times New Roman"/>
        <w:sz w:val="20"/>
        <w:szCs w:val="20"/>
      </w:rPr>
      <w:t>;</w:t>
    </w:r>
  </w:p>
  <w:p w14:paraId="6A49959A" w14:textId="0F231E9A" w:rsidR="00576292" w:rsidRPr="00576292" w:rsidRDefault="00576292">
    <w:pPr>
      <w:pStyle w:val="Rodap"/>
      <w:rPr>
        <w:rFonts w:ascii="Times New Roman" w:hAnsi="Times New Roman" w:cs="Times New Roman"/>
        <w:sz w:val="20"/>
        <w:szCs w:val="20"/>
      </w:rPr>
    </w:pPr>
    <w:r>
      <w:rPr>
        <w:rFonts w:ascii="Times New Roman" w:hAnsi="Times New Roman" w:cs="Times New Roman"/>
        <w:sz w:val="20"/>
        <w:szCs w:val="20"/>
      </w:rPr>
      <w:t>3-</w:t>
    </w:r>
    <w:r w:rsidRPr="00576292">
      <w:rPr>
        <w:rFonts w:ascii="Times New Roman" w:hAnsi="Times New Roman" w:cs="Times New Roman"/>
        <w:sz w:val="20"/>
        <w:szCs w:val="20"/>
      </w:rPr>
      <w:t>Acadêmic</w:t>
    </w:r>
    <w:r>
      <w:rPr>
        <w:rFonts w:ascii="Times New Roman" w:hAnsi="Times New Roman" w:cs="Times New Roman"/>
        <w:sz w:val="20"/>
        <w:szCs w:val="20"/>
      </w:rPr>
      <w:t>a</w:t>
    </w:r>
    <w:r w:rsidRPr="00576292">
      <w:rPr>
        <w:rFonts w:ascii="Times New Roman" w:hAnsi="Times New Roman" w:cs="Times New Roman"/>
        <w:sz w:val="20"/>
        <w:szCs w:val="20"/>
      </w:rPr>
      <w:t xml:space="preserve"> de </w:t>
    </w:r>
    <w:r>
      <w:rPr>
        <w:rFonts w:ascii="Times New Roman" w:hAnsi="Times New Roman" w:cs="Times New Roman"/>
        <w:sz w:val="20"/>
        <w:szCs w:val="20"/>
      </w:rPr>
      <w:t xml:space="preserve">Biomedicina – </w:t>
    </w:r>
    <w:r w:rsidRPr="00576292">
      <w:rPr>
        <w:rFonts w:ascii="Times New Roman" w:hAnsi="Times New Roman" w:cs="Times New Roman"/>
        <w:sz w:val="20"/>
        <w:szCs w:val="20"/>
      </w:rPr>
      <w:t>USJT</w:t>
    </w:r>
    <w:r>
      <w:rPr>
        <w:rFonts w:ascii="Times New Roman" w:hAnsi="Times New Roman" w:cs="Times New Roman"/>
        <w:sz w:val="20"/>
        <w:szCs w:val="20"/>
      </w:rPr>
      <w:t>,</w:t>
    </w:r>
    <w:r w:rsidR="0016109D">
      <w:rPr>
        <w:rFonts w:ascii="Times New Roman" w:hAnsi="Times New Roman" w:cs="Times New Roman"/>
        <w:sz w:val="20"/>
        <w:szCs w:val="20"/>
      </w:rPr>
      <w:t xml:space="preserve"> </w:t>
    </w:r>
    <w:r w:rsidR="00611268" w:rsidRPr="00611268">
      <w:rPr>
        <w:rFonts w:ascii="Times New Roman" w:hAnsi="Times New Roman" w:cs="Times New Roman"/>
        <w:color w:val="000000"/>
        <w:sz w:val="20"/>
        <w:szCs w:val="20"/>
        <w:shd w:val="clear" w:color="auto" w:fill="FFFFFF"/>
      </w:rPr>
      <w:t>rachelzinhash@gmail.com</w:t>
    </w:r>
    <w:r w:rsidR="00611268">
      <w:rPr>
        <w:rFonts w:ascii="Times New Roman" w:hAnsi="Times New Roman" w:cs="Times New Roman"/>
        <w:color w:val="000000"/>
        <w:sz w:val="20"/>
        <w:szCs w:val="20"/>
        <w:shd w:val="clear" w:color="auto" w:fill="FFFFFF"/>
      </w:rPr>
      <w:t>;</w:t>
    </w:r>
  </w:p>
  <w:p w14:paraId="743C95F8" w14:textId="3BACBDBD" w:rsidR="00576292" w:rsidRPr="00576292" w:rsidRDefault="00576292">
    <w:pPr>
      <w:pStyle w:val="Rodap"/>
      <w:rPr>
        <w:rFonts w:ascii="Times New Roman" w:hAnsi="Times New Roman" w:cs="Times New Roman"/>
        <w:sz w:val="20"/>
        <w:szCs w:val="20"/>
      </w:rPr>
    </w:pPr>
    <w:r>
      <w:rPr>
        <w:rFonts w:ascii="Times New Roman" w:hAnsi="Times New Roman" w:cs="Times New Roman"/>
        <w:sz w:val="20"/>
        <w:szCs w:val="20"/>
      </w:rPr>
      <w:t>4-</w:t>
    </w:r>
    <w:r w:rsidRPr="00576292">
      <w:rPr>
        <w:rFonts w:ascii="Times New Roman" w:hAnsi="Times New Roman" w:cs="Times New Roman"/>
        <w:sz w:val="20"/>
        <w:szCs w:val="20"/>
      </w:rPr>
      <w:t>Doutora em Fisiopatologia Experimental</w:t>
    </w:r>
    <w:r>
      <w:rPr>
        <w:rFonts w:ascii="Times New Roman" w:hAnsi="Times New Roman" w:cs="Times New Roman"/>
        <w:sz w:val="20"/>
        <w:szCs w:val="20"/>
      </w:rPr>
      <w:t xml:space="preserve"> – </w:t>
    </w:r>
    <w:r w:rsidRPr="00576292">
      <w:rPr>
        <w:rFonts w:ascii="Times New Roman" w:hAnsi="Times New Roman" w:cs="Times New Roman"/>
        <w:sz w:val="20"/>
        <w:szCs w:val="20"/>
      </w:rPr>
      <w:t>Laboratório do Movimento Humano</w:t>
    </w:r>
    <w:r>
      <w:rPr>
        <w:rFonts w:ascii="Times New Roman" w:hAnsi="Times New Roman" w:cs="Times New Roman"/>
        <w:sz w:val="20"/>
        <w:szCs w:val="20"/>
      </w:rPr>
      <w:t xml:space="preserve"> (USJT), </w:t>
    </w:r>
    <w:r w:rsidRPr="00576292">
      <w:rPr>
        <w:rFonts w:ascii="Times New Roman" w:hAnsi="Times New Roman" w:cs="Times New Roman"/>
        <w:sz w:val="20"/>
        <w:szCs w:val="20"/>
      </w:rPr>
      <w:t>nathalia.bernardes@saojudas.b</w:t>
    </w:r>
    <w:r>
      <w:rPr>
        <w:rFonts w:ascii="Times New Roman" w:hAnsi="Times New Roman" w:cs="Times New Roman"/>
        <w:sz w:val="20"/>
        <w:szCs w:val="20"/>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ACE7" w14:textId="77777777" w:rsidR="004B0E1D" w:rsidRDefault="004B0E1D" w:rsidP="00576292">
      <w:pPr>
        <w:spacing w:after="0" w:line="240" w:lineRule="auto"/>
      </w:pPr>
      <w:r>
        <w:separator/>
      </w:r>
    </w:p>
  </w:footnote>
  <w:footnote w:type="continuationSeparator" w:id="0">
    <w:p w14:paraId="1887C79A" w14:textId="77777777" w:rsidR="004B0E1D" w:rsidRDefault="004B0E1D" w:rsidP="00576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94218"/>
    <w:multiLevelType w:val="hybridMultilevel"/>
    <w:tmpl w:val="38B84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2713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C08"/>
    <w:rsid w:val="0016109D"/>
    <w:rsid w:val="00237D82"/>
    <w:rsid w:val="00392FF4"/>
    <w:rsid w:val="004B0E1D"/>
    <w:rsid w:val="00517C08"/>
    <w:rsid w:val="00570359"/>
    <w:rsid w:val="00576292"/>
    <w:rsid w:val="00611268"/>
    <w:rsid w:val="006B7159"/>
    <w:rsid w:val="008844C8"/>
    <w:rsid w:val="008F2318"/>
    <w:rsid w:val="00942959"/>
    <w:rsid w:val="009B7414"/>
    <w:rsid w:val="009D51BB"/>
    <w:rsid w:val="00A379A9"/>
    <w:rsid w:val="00A47A06"/>
    <w:rsid w:val="00CE31CC"/>
    <w:rsid w:val="00DA23D1"/>
    <w:rsid w:val="00F45D8F"/>
    <w:rsid w:val="00F62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57F2"/>
  <w15:chartTrackingRefBased/>
  <w15:docId w15:val="{F70DD21C-71AF-4411-BFB7-98FA03E3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5B0"/>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70359"/>
    <w:pPr>
      <w:ind w:left="720"/>
      <w:contextualSpacing/>
    </w:pPr>
  </w:style>
  <w:style w:type="paragraph" w:styleId="Cabealho">
    <w:name w:val="header"/>
    <w:basedOn w:val="Normal"/>
    <w:link w:val="CabealhoChar"/>
    <w:uiPriority w:val="99"/>
    <w:unhideWhenUsed/>
    <w:rsid w:val="005762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6292"/>
    <w:rPr>
      <w:kern w:val="0"/>
      <w14:ligatures w14:val="none"/>
    </w:rPr>
  </w:style>
  <w:style w:type="paragraph" w:styleId="Rodap">
    <w:name w:val="footer"/>
    <w:basedOn w:val="Normal"/>
    <w:link w:val="RodapChar"/>
    <w:uiPriority w:val="99"/>
    <w:unhideWhenUsed/>
    <w:rsid w:val="00576292"/>
    <w:pPr>
      <w:tabs>
        <w:tab w:val="center" w:pos="4252"/>
        <w:tab w:val="right" w:pos="8504"/>
      </w:tabs>
      <w:spacing w:after="0" w:line="240" w:lineRule="auto"/>
    </w:pPr>
  </w:style>
  <w:style w:type="character" w:customStyle="1" w:styleId="RodapChar">
    <w:name w:val="Rodapé Char"/>
    <w:basedOn w:val="Fontepargpadro"/>
    <w:link w:val="Rodap"/>
    <w:uiPriority w:val="99"/>
    <w:rsid w:val="00576292"/>
    <w:rPr>
      <w:kern w:val="0"/>
      <w14:ligatures w14:val="none"/>
    </w:rPr>
  </w:style>
  <w:style w:type="character" w:styleId="Hyperlink">
    <w:name w:val="Hyperlink"/>
    <w:basedOn w:val="Fontepargpadro"/>
    <w:uiPriority w:val="99"/>
    <w:unhideWhenUsed/>
    <w:rsid w:val="00576292"/>
    <w:rPr>
      <w:color w:val="0563C1" w:themeColor="hyperlink"/>
      <w:u w:val="single"/>
    </w:rPr>
  </w:style>
  <w:style w:type="character" w:styleId="MenoPendente">
    <w:name w:val="Unresolved Mention"/>
    <w:basedOn w:val="Fontepargpadro"/>
    <w:uiPriority w:val="99"/>
    <w:semiHidden/>
    <w:unhideWhenUsed/>
    <w:rsid w:val="00576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4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Exempl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Planilha%20GS%20GA%2024.08.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Planilha%20GS%20GA%2024.08.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Planilha%20GS%20GA%2024.08.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ownloads\Planilha%20GS%20GA%2024.08.2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a:latin typeface="Arial" panose="020B0604020202020204" pitchFamily="34" charset="0"/>
                <a:cs typeface="Arial" panose="020B0604020202020204" pitchFamily="34" charset="0"/>
              </a:rPr>
              <a:t>Nível</a:t>
            </a:r>
            <a:r>
              <a:rPr lang="pt-BR" sz="1200" baseline="0">
                <a:latin typeface="Arial" panose="020B0604020202020204" pitchFamily="34" charset="0"/>
                <a:cs typeface="Arial" panose="020B0604020202020204" pitchFamily="34" charset="0"/>
              </a:rPr>
              <a:t> de Atividade Física e Qualidade de Vida</a:t>
            </a:r>
            <a:endParaRPr lang="pt-B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6.7568241469816173E-2"/>
                  <c:y val="0.45482684456109651"/>
                </c:manualLayout>
              </c:layout>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br>
                      <a:rPr lang="en-US" sz="1000" baseline="0">
                        <a:latin typeface="Arial" panose="020B0604020202020204" pitchFamily="34" charset="0"/>
                        <a:cs typeface="Arial" panose="020B0604020202020204" pitchFamily="34" charset="0"/>
                      </a:rPr>
                    </a:br>
                    <a:r>
                      <a:rPr lang="en-US" sz="1000" baseline="0">
                        <a:latin typeface="Arial" panose="020B0604020202020204" pitchFamily="34" charset="0"/>
                        <a:cs typeface="Arial" panose="020B0604020202020204" pitchFamily="34" charset="0"/>
                      </a:rPr>
                      <a:t>R² = 0,3</a:t>
                    </a:r>
                    <a:endParaRPr lang="en-US" sz="1000">
                      <a:latin typeface="Arial" panose="020B0604020202020204" pitchFamily="34" charset="0"/>
                      <a:cs typeface="Arial" panose="020B0604020202020204" pitchFamily="34" charset="0"/>
                    </a:endParaRPr>
                  </a:p>
                </c:rich>
              </c:tx>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rendlineLbl>
          </c:trendline>
          <c:xVal>
            <c:numRef>
              <c:f>correlações!$F$4:$F$17</c:f>
              <c:numCache>
                <c:formatCode>General</c:formatCode>
                <c:ptCount val="14"/>
                <c:pt idx="0">
                  <c:v>0</c:v>
                </c:pt>
                <c:pt idx="1">
                  <c:v>225</c:v>
                </c:pt>
                <c:pt idx="2">
                  <c:v>0</c:v>
                </c:pt>
                <c:pt idx="3">
                  <c:v>50</c:v>
                </c:pt>
                <c:pt idx="4">
                  <c:v>0</c:v>
                </c:pt>
                <c:pt idx="5">
                  <c:v>310</c:v>
                </c:pt>
                <c:pt idx="6">
                  <c:v>100</c:v>
                </c:pt>
                <c:pt idx="7">
                  <c:v>1305</c:v>
                </c:pt>
                <c:pt idx="8">
                  <c:v>270</c:v>
                </c:pt>
                <c:pt idx="9">
                  <c:v>780</c:v>
                </c:pt>
                <c:pt idx="10">
                  <c:v>465</c:v>
                </c:pt>
                <c:pt idx="11">
                  <c:v>330</c:v>
                </c:pt>
                <c:pt idx="12">
                  <c:v>130</c:v>
                </c:pt>
                <c:pt idx="13">
                  <c:v>130</c:v>
                </c:pt>
              </c:numCache>
            </c:numRef>
          </c:xVal>
          <c:yVal>
            <c:numRef>
              <c:f>correlações!$G$4:$G$17</c:f>
              <c:numCache>
                <c:formatCode>General</c:formatCode>
                <c:ptCount val="14"/>
                <c:pt idx="0">
                  <c:v>0</c:v>
                </c:pt>
                <c:pt idx="1">
                  <c:v>50</c:v>
                </c:pt>
                <c:pt idx="2">
                  <c:v>62.5</c:v>
                </c:pt>
                <c:pt idx="3">
                  <c:v>50</c:v>
                </c:pt>
                <c:pt idx="4">
                  <c:v>25</c:v>
                </c:pt>
                <c:pt idx="5">
                  <c:v>37.5</c:v>
                </c:pt>
                <c:pt idx="6">
                  <c:v>50</c:v>
                </c:pt>
                <c:pt idx="7">
                  <c:v>75</c:v>
                </c:pt>
                <c:pt idx="8">
                  <c:v>50</c:v>
                </c:pt>
                <c:pt idx="9">
                  <c:v>87.5</c:v>
                </c:pt>
                <c:pt idx="10">
                  <c:v>37.5</c:v>
                </c:pt>
                <c:pt idx="11">
                  <c:v>50</c:v>
                </c:pt>
                <c:pt idx="12">
                  <c:v>62.5</c:v>
                </c:pt>
                <c:pt idx="13">
                  <c:v>62.5</c:v>
                </c:pt>
              </c:numCache>
            </c:numRef>
          </c:yVal>
          <c:smooth val="0"/>
          <c:extLst>
            <c:ext xmlns:c16="http://schemas.microsoft.com/office/drawing/2014/chart" uri="{C3380CC4-5D6E-409C-BE32-E72D297353CC}">
              <c16:uniqueId val="{00000001-1E4B-40CE-92B9-92DC994E59F1}"/>
            </c:ext>
          </c:extLst>
        </c:ser>
        <c:dLbls>
          <c:showLegendKey val="0"/>
          <c:showVal val="0"/>
          <c:showCatName val="0"/>
          <c:showSerName val="0"/>
          <c:showPercent val="0"/>
          <c:showBubbleSize val="0"/>
        </c:dLbls>
        <c:axId val="1794826400"/>
        <c:axId val="1824040912"/>
      </c:scatterChart>
      <c:valAx>
        <c:axId val="1794826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000" b="0" i="0" u="none" strike="noStrike" kern="1200" baseline="0">
                    <a:solidFill>
                      <a:srgbClr val="000000">
                        <a:lumMod val="65000"/>
                        <a:lumOff val="35000"/>
                      </a:srgbClr>
                    </a:solidFill>
                    <a:latin typeface="Arial" panose="020B0604020202020204" pitchFamily="34" charset="0"/>
                    <a:cs typeface="Arial" panose="020B0604020202020204" pitchFamily="34" charset="0"/>
                  </a:rPr>
                  <a:t>MET/min Total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824040912"/>
        <c:crosses val="autoZero"/>
        <c:crossBetween val="midCat"/>
      </c:valAx>
      <c:valAx>
        <c:axId val="18240409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000">
                    <a:latin typeface="Arial" panose="020B0604020202020204" pitchFamily="34" charset="0"/>
                    <a:cs typeface="Arial" panose="020B0604020202020204" pitchFamily="34" charset="0"/>
                  </a:rPr>
                  <a:t>Domínio Pessoal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7948264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b="0" i="0" u="none" strike="noStrike" kern="1200" spc="0" baseline="0">
                <a:solidFill>
                  <a:srgbClr val="000000">
                    <a:lumMod val="65000"/>
                    <a:lumOff val="35000"/>
                  </a:srgbClr>
                </a:solidFill>
                <a:latin typeface="Arial" panose="020B0604020202020204" pitchFamily="34" charset="0"/>
                <a:cs typeface="Arial" panose="020B0604020202020204" pitchFamily="34" charset="0"/>
              </a:rPr>
              <a:t>Nível de Atividade Física e Qualidade de Vida</a:t>
            </a:r>
          </a:p>
        </c:rich>
      </c:tx>
      <c:overlay val="0"/>
      <c:spPr>
        <a:noFill/>
        <a:ln>
          <a:noFill/>
        </a:ln>
        <a:effectLst/>
      </c:spPr>
      <c:txPr>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0"/>
            <c:trendlineLbl>
              <c:layout>
                <c:manualLayout>
                  <c:x val="8.0304461942257113E-2"/>
                  <c:y val="0.2922747156605424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rendlineLbl>
          </c:trendline>
          <c:xVal>
            <c:numRef>
              <c:f>Planilha1!$B$2:$B$15</c:f>
              <c:numCache>
                <c:formatCode>General</c:formatCode>
                <c:ptCount val="14"/>
                <c:pt idx="0">
                  <c:v>0</c:v>
                </c:pt>
                <c:pt idx="1">
                  <c:v>225</c:v>
                </c:pt>
                <c:pt idx="2">
                  <c:v>0</c:v>
                </c:pt>
                <c:pt idx="3">
                  <c:v>50</c:v>
                </c:pt>
                <c:pt idx="4">
                  <c:v>0</c:v>
                </c:pt>
                <c:pt idx="5">
                  <c:v>310</c:v>
                </c:pt>
                <c:pt idx="6">
                  <c:v>100</c:v>
                </c:pt>
                <c:pt idx="7">
                  <c:v>1305</c:v>
                </c:pt>
                <c:pt idx="8">
                  <c:v>270</c:v>
                </c:pt>
                <c:pt idx="9">
                  <c:v>780</c:v>
                </c:pt>
                <c:pt idx="10">
                  <c:v>465</c:v>
                </c:pt>
                <c:pt idx="11">
                  <c:v>330</c:v>
                </c:pt>
                <c:pt idx="12">
                  <c:v>130</c:v>
                </c:pt>
                <c:pt idx="13">
                  <c:v>130</c:v>
                </c:pt>
              </c:numCache>
            </c:numRef>
          </c:xVal>
          <c:yVal>
            <c:numRef>
              <c:f>Planilha1!$C$2:$C$15</c:f>
              <c:numCache>
                <c:formatCode>General</c:formatCode>
                <c:ptCount val="14"/>
                <c:pt idx="0">
                  <c:v>41.666666999999997</c:v>
                </c:pt>
                <c:pt idx="1">
                  <c:v>54.166666999999997</c:v>
                </c:pt>
                <c:pt idx="2">
                  <c:v>95.833332999999996</c:v>
                </c:pt>
                <c:pt idx="3">
                  <c:v>62.5</c:v>
                </c:pt>
                <c:pt idx="4">
                  <c:v>29.166667</c:v>
                </c:pt>
                <c:pt idx="5">
                  <c:v>20.833333</c:v>
                </c:pt>
                <c:pt idx="6">
                  <c:v>33.333333000000003</c:v>
                </c:pt>
                <c:pt idx="7">
                  <c:v>75</c:v>
                </c:pt>
                <c:pt idx="8">
                  <c:v>58.333333000000003</c:v>
                </c:pt>
                <c:pt idx="9">
                  <c:v>62.5</c:v>
                </c:pt>
                <c:pt idx="10">
                  <c:v>41.666666999999997</c:v>
                </c:pt>
                <c:pt idx="11">
                  <c:v>37.5</c:v>
                </c:pt>
                <c:pt idx="12">
                  <c:v>45.833333000000003</c:v>
                </c:pt>
                <c:pt idx="13">
                  <c:v>58.333333000000003</c:v>
                </c:pt>
              </c:numCache>
            </c:numRef>
          </c:yVal>
          <c:smooth val="0"/>
          <c:extLst>
            <c:ext xmlns:c16="http://schemas.microsoft.com/office/drawing/2014/chart" uri="{C3380CC4-5D6E-409C-BE32-E72D297353CC}">
              <c16:uniqueId val="{00000001-D360-4B94-AF81-E37D9B5BBDA3}"/>
            </c:ext>
          </c:extLst>
        </c:ser>
        <c:dLbls>
          <c:showLegendKey val="0"/>
          <c:showVal val="0"/>
          <c:showCatName val="0"/>
          <c:showSerName val="0"/>
          <c:showPercent val="0"/>
          <c:showBubbleSize val="0"/>
        </c:dLbls>
        <c:axId val="1160561807"/>
        <c:axId val="1155406847"/>
      </c:scatterChart>
      <c:valAx>
        <c:axId val="11605618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000" b="0" i="0" u="none" strike="noStrike" kern="1200" baseline="0">
                    <a:solidFill>
                      <a:srgbClr val="000000">
                        <a:lumMod val="65000"/>
                        <a:lumOff val="35000"/>
                      </a:srgbClr>
                    </a:solidFill>
                    <a:latin typeface="Arial" panose="020B0604020202020204" pitchFamily="34" charset="0"/>
                    <a:cs typeface="Arial" panose="020B0604020202020204" pitchFamily="34" charset="0"/>
                  </a:rPr>
                  <a:t>MET/min Total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55406847"/>
        <c:crosses val="autoZero"/>
        <c:crossBetween val="midCat"/>
      </c:valAx>
      <c:valAx>
        <c:axId val="115540684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latin typeface="Arial" panose="020B0604020202020204" pitchFamily="34" charset="0"/>
                    <a:cs typeface="Arial" panose="020B0604020202020204" pitchFamily="34" charset="0"/>
                  </a:rPr>
                  <a:t>Dominío</a:t>
                </a:r>
                <a:r>
                  <a:rPr lang="pt-BR" baseline="0">
                    <a:latin typeface="Arial" panose="020B0604020202020204" pitchFamily="34" charset="0"/>
                    <a:cs typeface="Arial" panose="020B0604020202020204" pitchFamily="34" charset="0"/>
                  </a:rPr>
                  <a:t> Psicológico</a:t>
                </a:r>
                <a:endParaRPr lang="pt-BR">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6056180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b="0" i="0" u="none" strike="noStrike" kern="1200" spc="0" baseline="0">
                <a:solidFill>
                  <a:srgbClr val="000000">
                    <a:lumMod val="65000"/>
                    <a:lumOff val="35000"/>
                  </a:srgbClr>
                </a:solidFill>
                <a:latin typeface="Arial" panose="020B0604020202020204" pitchFamily="34" charset="0"/>
                <a:cs typeface="Arial" panose="020B0604020202020204" pitchFamily="34" charset="0"/>
              </a:rPr>
              <a:t>Nível de Atividade Física e Qualidade de Vida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scatterChart>
        <c:scatterStyle val="lineMarker"/>
        <c:varyColors val="0"/>
        <c:ser>
          <c:idx val="0"/>
          <c:order val="0"/>
          <c:tx>
            <c:strRef>
              <c:f>Planilha1!$N$1</c:f>
              <c:strCache>
                <c:ptCount val="1"/>
                <c:pt idx="0">
                  <c:v>Inclusão</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6.2508092738407794E-2"/>
                  <c:y val="0.3789935112277632"/>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rendlineLbl>
          </c:trendline>
          <c:xVal>
            <c:numRef>
              <c:f>Planilha1!$M$2:$M$15</c:f>
              <c:numCache>
                <c:formatCode>General</c:formatCode>
                <c:ptCount val="14"/>
                <c:pt idx="0">
                  <c:v>0</c:v>
                </c:pt>
                <c:pt idx="1">
                  <c:v>225</c:v>
                </c:pt>
                <c:pt idx="2">
                  <c:v>0</c:v>
                </c:pt>
                <c:pt idx="3">
                  <c:v>50</c:v>
                </c:pt>
                <c:pt idx="4">
                  <c:v>0</c:v>
                </c:pt>
                <c:pt idx="5">
                  <c:v>310</c:v>
                </c:pt>
                <c:pt idx="6">
                  <c:v>100</c:v>
                </c:pt>
                <c:pt idx="7">
                  <c:v>1305</c:v>
                </c:pt>
                <c:pt idx="8">
                  <c:v>270</c:v>
                </c:pt>
                <c:pt idx="9">
                  <c:v>780</c:v>
                </c:pt>
                <c:pt idx="10">
                  <c:v>465</c:v>
                </c:pt>
                <c:pt idx="11">
                  <c:v>330</c:v>
                </c:pt>
                <c:pt idx="12">
                  <c:v>130</c:v>
                </c:pt>
                <c:pt idx="13">
                  <c:v>130</c:v>
                </c:pt>
              </c:numCache>
            </c:numRef>
          </c:xVal>
          <c:yVal>
            <c:numRef>
              <c:f>Planilha1!$N$2:$N$15</c:f>
              <c:numCache>
                <c:formatCode>General</c:formatCode>
                <c:ptCount val="14"/>
                <c:pt idx="0">
                  <c:v>12.5</c:v>
                </c:pt>
                <c:pt idx="1">
                  <c:v>45.833333000000003</c:v>
                </c:pt>
                <c:pt idx="2">
                  <c:v>45.833333000000003</c:v>
                </c:pt>
                <c:pt idx="3">
                  <c:v>20.833333</c:v>
                </c:pt>
                <c:pt idx="4">
                  <c:v>29.166667</c:v>
                </c:pt>
                <c:pt idx="5">
                  <c:v>29.166667</c:v>
                </c:pt>
                <c:pt idx="6">
                  <c:v>4.1666670000000003</c:v>
                </c:pt>
                <c:pt idx="7">
                  <c:v>62.5</c:v>
                </c:pt>
                <c:pt idx="8">
                  <c:v>25</c:v>
                </c:pt>
                <c:pt idx="9">
                  <c:v>12.5</c:v>
                </c:pt>
                <c:pt idx="10">
                  <c:v>41.666666999999997</c:v>
                </c:pt>
                <c:pt idx="11">
                  <c:v>16.666667</c:v>
                </c:pt>
                <c:pt idx="12">
                  <c:v>16.666667</c:v>
                </c:pt>
                <c:pt idx="13">
                  <c:v>37.5</c:v>
                </c:pt>
              </c:numCache>
            </c:numRef>
          </c:yVal>
          <c:smooth val="0"/>
          <c:extLst>
            <c:ext xmlns:c16="http://schemas.microsoft.com/office/drawing/2014/chart" uri="{C3380CC4-5D6E-409C-BE32-E72D297353CC}">
              <c16:uniqueId val="{00000002-F698-41C9-977B-D0F1EC23560A}"/>
            </c:ext>
          </c:extLst>
        </c:ser>
        <c:dLbls>
          <c:showLegendKey val="0"/>
          <c:showVal val="0"/>
          <c:showCatName val="0"/>
          <c:showSerName val="0"/>
          <c:showPercent val="0"/>
          <c:showBubbleSize val="0"/>
        </c:dLbls>
        <c:axId val="2112479871"/>
        <c:axId val="1155408767"/>
      </c:scatterChart>
      <c:valAx>
        <c:axId val="2112479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000" b="0" i="0" u="none" strike="noStrike" kern="1200" baseline="0">
                    <a:solidFill>
                      <a:srgbClr val="000000">
                        <a:lumMod val="65000"/>
                        <a:lumOff val="35000"/>
                      </a:srgbClr>
                    </a:solidFill>
                    <a:latin typeface="Arial" panose="020B0604020202020204" pitchFamily="34" charset="0"/>
                    <a:cs typeface="Arial" panose="020B0604020202020204" pitchFamily="34" charset="0"/>
                  </a:rPr>
                  <a:t>MET/min Total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55408767"/>
        <c:crosses val="autoZero"/>
        <c:crossBetween val="midCat"/>
      </c:valAx>
      <c:valAx>
        <c:axId val="1155408767"/>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a:latin typeface="Arial" panose="020B0604020202020204" pitchFamily="34" charset="0"/>
                    <a:cs typeface="Arial" panose="020B0604020202020204" pitchFamily="34" charset="0"/>
                  </a:rPr>
                  <a:t>Inclusão</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211247987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a:latin typeface="Arial" panose="020B0604020202020204" pitchFamily="34" charset="0"/>
                <a:cs typeface="Arial" panose="020B0604020202020204" pitchFamily="34" charset="0"/>
              </a:rPr>
              <a:t>Nível</a:t>
            </a:r>
            <a:r>
              <a:rPr lang="pt-BR" sz="1200" baseline="0">
                <a:latin typeface="Arial" panose="020B0604020202020204" pitchFamily="34" charset="0"/>
                <a:cs typeface="Arial" panose="020B0604020202020204" pitchFamily="34" charset="0"/>
              </a:rPr>
              <a:t> de Atividade Física e Qualidade de Vida</a:t>
            </a:r>
            <a:endParaRPr lang="pt-B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6.5619203849518803E-2"/>
                  <c:y val="0.39071923301254008"/>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rendlineLbl>
          </c:trendline>
          <c:xVal>
            <c:numRef>
              <c:f>Planilha1!$X$2:$X$15</c:f>
              <c:numCache>
                <c:formatCode>General</c:formatCode>
                <c:ptCount val="14"/>
                <c:pt idx="0">
                  <c:v>0</c:v>
                </c:pt>
                <c:pt idx="1">
                  <c:v>225</c:v>
                </c:pt>
                <c:pt idx="2">
                  <c:v>0</c:v>
                </c:pt>
                <c:pt idx="3">
                  <c:v>50</c:v>
                </c:pt>
                <c:pt idx="4">
                  <c:v>0</c:v>
                </c:pt>
                <c:pt idx="5">
                  <c:v>310</c:v>
                </c:pt>
                <c:pt idx="6">
                  <c:v>100</c:v>
                </c:pt>
                <c:pt idx="7">
                  <c:v>1305</c:v>
                </c:pt>
                <c:pt idx="8">
                  <c:v>270</c:v>
                </c:pt>
                <c:pt idx="9">
                  <c:v>780</c:v>
                </c:pt>
                <c:pt idx="10">
                  <c:v>465</c:v>
                </c:pt>
                <c:pt idx="11">
                  <c:v>330</c:v>
                </c:pt>
                <c:pt idx="12">
                  <c:v>130</c:v>
                </c:pt>
                <c:pt idx="13">
                  <c:v>130</c:v>
                </c:pt>
              </c:numCache>
            </c:numRef>
          </c:xVal>
          <c:yVal>
            <c:numRef>
              <c:f>Planilha1!$Y$2:$Y$15</c:f>
              <c:numCache>
                <c:formatCode>General</c:formatCode>
                <c:ptCount val="14"/>
                <c:pt idx="0">
                  <c:v>6.25</c:v>
                </c:pt>
                <c:pt idx="1">
                  <c:v>64.583332999999996</c:v>
                </c:pt>
                <c:pt idx="2">
                  <c:v>43.75</c:v>
                </c:pt>
                <c:pt idx="3">
                  <c:v>29.166667</c:v>
                </c:pt>
                <c:pt idx="4">
                  <c:v>22.916667</c:v>
                </c:pt>
                <c:pt idx="5">
                  <c:v>31.25</c:v>
                </c:pt>
                <c:pt idx="6">
                  <c:v>18.75</c:v>
                </c:pt>
                <c:pt idx="7">
                  <c:v>62.5</c:v>
                </c:pt>
                <c:pt idx="8">
                  <c:v>25</c:v>
                </c:pt>
                <c:pt idx="9">
                  <c:v>16.666667</c:v>
                </c:pt>
                <c:pt idx="10">
                  <c:v>35.416666999999997</c:v>
                </c:pt>
                <c:pt idx="11">
                  <c:v>18.75</c:v>
                </c:pt>
                <c:pt idx="12">
                  <c:v>29.166667</c:v>
                </c:pt>
                <c:pt idx="13">
                  <c:v>37.5</c:v>
                </c:pt>
              </c:numCache>
            </c:numRef>
          </c:yVal>
          <c:smooth val="0"/>
          <c:extLst>
            <c:ext xmlns:c16="http://schemas.microsoft.com/office/drawing/2014/chart" uri="{C3380CC4-5D6E-409C-BE32-E72D297353CC}">
              <c16:uniqueId val="{00000002-0F08-44AC-B3D3-D34249C91E16}"/>
            </c:ext>
          </c:extLst>
        </c:ser>
        <c:dLbls>
          <c:showLegendKey val="0"/>
          <c:showVal val="0"/>
          <c:showCatName val="0"/>
          <c:showSerName val="0"/>
          <c:showPercent val="0"/>
          <c:showBubbleSize val="0"/>
        </c:dLbls>
        <c:axId val="2115446655"/>
        <c:axId val="125438719"/>
      </c:scatterChart>
      <c:valAx>
        <c:axId val="21154466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000" b="0" i="0" u="none" strike="noStrike" kern="1200" baseline="0">
                    <a:solidFill>
                      <a:srgbClr val="000000">
                        <a:lumMod val="65000"/>
                        <a:lumOff val="35000"/>
                      </a:srgbClr>
                    </a:solidFill>
                    <a:latin typeface="Arial" panose="020B0604020202020204" pitchFamily="34" charset="0"/>
                    <a:cs typeface="Arial" panose="020B0604020202020204" pitchFamily="34" charset="0"/>
                  </a:rPr>
                  <a:t>MET/min Total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25438719"/>
        <c:crosses val="autoZero"/>
        <c:crossBetween val="midCat"/>
      </c:valAx>
      <c:valAx>
        <c:axId val="1254387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a:latin typeface="Arial" panose="020B0604020202020204" pitchFamily="34" charset="0"/>
                    <a:cs typeface="Arial" panose="020B0604020202020204" pitchFamily="34" charset="0"/>
                  </a:rPr>
                  <a:t>Interpessoal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211544665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200">
                <a:latin typeface="Arial" panose="020B0604020202020204" pitchFamily="34" charset="0"/>
                <a:cs typeface="Arial" panose="020B0604020202020204" pitchFamily="34" charset="0"/>
              </a:rPr>
              <a:t>Nível</a:t>
            </a:r>
            <a:r>
              <a:rPr lang="pt-BR" sz="1200" baseline="0">
                <a:latin typeface="Arial" panose="020B0604020202020204" pitchFamily="34" charset="0"/>
                <a:cs typeface="Arial" panose="020B0604020202020204" pitchFamily="34" charset="0"/>
              </a:rPr>
              <a:t> de Atividade Física e Qualidade de Vida</a:t>
            </a:r>
            <a:endParaRPr lang="pt-BR"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scatterChart>
        <c:scatterStyle val="lineMarker"/>
        <c:varyColors val="0"/>
        <c:ser>
          <c:idx val="0"/>
          <c:order val="0"/>
          <c:tx>
            <c:strRef>
              <c:f>Planilha1!$AB$1</c:f>
              <c:strCache>
                <c:ptCount val="1"/>
                <c:pt idx="0">
                  <c:v>domDIS_nac (Questões 40 até 44) - Módulo Nacional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0"/>
            <c:trendlineLbl>
              <c:layout>
                <c:manualLayout>
                  <c:x val="7.6396981627296481E-2"/>
                  <c:y val="0.47637284922717993"/>
                </c:manualLayout>
              </c:layout>
              <c:numFmt formatCode="General" sourceLinked="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rendlineLbl>
          </c:trendline>
          <c:xVal>
            <c:numRef>
              <c:f>Planilha1!$AA$2:$AA$15</c:f>
              <c:numCache>
                <c:formatCode>General</c:formatCode>
                <c:ptCount val="14"/>
                <c:pt idx="0">
                  <c:v>0</c:v>
                </c:pt>
                <c:pt idx="1">
                  <c:v>225</c:v>
                </c:pt>
                <c:pt idx="2">
                  <c:v>0</c:v>
                </c:pt>
                <c:pt idx="3">
                  <c:v>50</c:v>
                </c:pt>
                <c:pt idx="4">
                  <c:v>0</c:v>
                </c:pt>
                <c:pt idx="5">
                  <c:v>310</c:v>
                </c:pt>
                <c:pt idx="6">
                  <c:v>100</c:v>
                </c:pt>
                <c:pt idx="7">
                  <c:v>1305</c:v>
                </c:pt>
                <c:pt idx="8">
                  <c:v>270</c:v>
                </c:pt>
                <c:pt idx="9">
                  <c:v>780</c:v>
                </c:pt>
                <c:pt idx="10">
                  <c:v>465</c:v>
                </c:pt>
                <c:pt idx="11">
                  <c:v>330</c:v>
                </c:pt>
                <c:pt idx="12">
                  <c:v>130</c:v>
                </c:pt>
                <c:pt idx="13">
                  <c:v>130</c:v>
                </c:pt>
              </c:numCache>
            </c:numRef>
          </c:xVal>
          <c:yVal>
            <c:numRef>
              <c:f>Planilha1!$AB$2:$AB$15</c:f>
              <c:numCache>
                <c:formatCode>General</c:formatCode>
                <c:ptCount val="14"/>
                <c:pt idx="0">
                  <c:v>30</c:v>
                </c:pt>
                <c:pt idx="1">
                  <c:v>40</c:v>
                </c:pt>
                <c:pt idx="2">
                  <c:v>60</c:v>
                </c:pt>
                <c:pt idx="3">
                  <c:v>50</c:v>
                </c:pt>
                <c:pt idx="4">
                  <c:v>40</c:v>
                </c:pt>
                <c:pt idx="5">
                  <c:v>40</c:v>
                </c:pt>
                <c:pt idx="6">
                  <c:v>35</c:v>
                </c:pt>
                <c:pt idx="7">
                  <c:v>75</c:v>
                </c:pt>
                <c:pt idx="8">
                  <c:v>35</c:v>
                </c:pt>
                <c:pt idx="9">
                  <c:v>50</c:v>
                </c:pt>
                <c:pt idx="10">
                  <c:v>50</c:v>
                </c:pt>
                <c:pt idx="11">
                  <c:v>55</c:v>
                </c:pt>
                <c:pt idx="12">
                  <c:v>40</c:v>
                </c:pt>
                <c:pt idx="13">
                  <c:v>55</c:v>
                </c:pt>
              </c:numCache>
            </c:numRef>
          </c:yVal>
          <c:smooth val="0"/>
          <c:extLst>
            <c:ext xmlns:c16="http://schemas.microsoft.com/office/drawing/2014/chart" uri="{C3380CC4-5D6E-409C-BE32-E72D297353CC}">
              <c16:uniqueId val="{00000002-4908-4E2B-A402-15AA27D32B89}"/>
            </c:ext>
          </c:extLst>
        </c:ser>
        <c:dLbls>
          <c:showLegendKey val="0"/>
          <c:showVal val="0"/>
          <c:showCatName val="0"/>
          <c:showSerName val="0"/>
          <c:showPercent val="0"/>
          <c:showBubbleSize val="0"/>
        </c:dLbls>
        <c:axId val="1160551135"/>
        <c:axId val="1158977647"/>
      </c:scatterChart>
      <c:valAx>
        <c:axId val="11605511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pt-BR" sz="1000" b="0" i="0" u="none" strike="noStrike" kern="1200" baseline="0">
                    <a:solidFill>
                      <a:srgbClr val="000000">
                        <a:lumMod val="65000"/>
                        <a:lumOff val="35000"/>
                      </a:srgbClr>
                    </a:solidFill>
                    <a:latin typeface="Arial" panose="020B0604020202020204" pitchFamily="34" charset="0"/>
                    <a:cs typeface="Arial" panose="020B0604020202020204" pitchFamily="34" charset="0"/>
                  </a:rPr>
                  <a:t>MET/min Total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58977647"/>
        <c:crosses val="autoZero"/>
        <c:crossBetween val="midCat"/>
      </c:valAx>
      <c:valAx>
        <c:axId val="1158977647"/>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000000">
                        <a:lumMod val="65000"/>
                        <a:lumOff val="35000"/>
                      </a:srgbClr>
                    </a:solidFill>
                    <a:latin typeface="Arial" panose="020B0604020202020204" pitchFamily="34" charset="0"/>
                    <a:ea typeface="+mn-ea"/>
                    <a:cs typeface="Arial" panose="020B0604020202020204" pitchFamily="34" charset="0"/>
                  </a:defRPr>
                </a:pPr>
                <a:r>
                  <a:rPr lang="pt-BR" sz="1000" b="0" i="0" u="none" strike="noStrike" kern="1200" baseline="0">
                    <a:solidFill>
                      <a:srgbClr val="000000">
                        <a:lumMod val="65000"/>
                        <a:lumOff val="35000"/>
                      </a:srgbClr>
                    </a:solidFill>
                    <a:latin typeface="Arial" panose="020B0604020202020204" pitchFamily="34" charset="0"/>
                    <a:cs typeface="Arial" panose="020B0604020202020204" pitchFamily="34" charset="0"/>
                  </a:rPr>
                  <a:t>Sonhos/Oportunidades</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rgbClr val="000000">
                      <a:lumMod val="65000"/>
                      <a:lumOff val="35000"/>
                    </a:srgb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605511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1588</Words>
  <Characters>8580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da Costa</dc:creator>
  <cp:keywords/>
  <dc:description/>
  <cp:lastModifiedBy>Giulia da Costa</cp:lastModifiedBy>
  <cp:revision>5</cp:revision>
  <cp:lastPrinted>2023-10-25T20:46:00Z</cp:lastPrinted>
  <dcterms:created xsi:type="dcterms:W3CDTF">2023-10-25T19:51:00Z</dcterms:created>
  <dcterms:modified xsi:type="dcterms:W3CDTF">2023-10-26T20:29:00Z</dcterms:modified>
</cp:coreProperties>
</file>