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BA799" w14:textId="5826978D" w:rsidR="00055D20" w:rsidRDefault="00055D20" w:rsidP="007104CC">
      <w:pPr>
        <w:spacing w:line="360" w:lineRule="auto"/>
        <w:jc w:val="center"/>
        <w:rPr>
          <w:rFonts w:ascii="Times New Roman" w:hAnsi="Times New Roman" w:cs="Times New Roman"/>
          <w:b/>
        </w:rPr>
      </w:pPr>
      <w:r w:rsidRPr="00055D20">
        <w:rPr>
          <w:rFonts w:ascii="Times New Roman" w:hAnsi="Times New Roman" w:cs="Times New Roman"/>
          <w:b/>
        </w:rPr>
        <w:t>SERVIÇOS PÚBLICOS E POLÍTICAS GOVERNAMENTAIS: UMA ANÁLISE DOS INDICADORES DE UNIVERSALIZAÇÃO DOS SERVIÇOS POSTAIS</w:t>
      </w:r>
    </w:p>
    <w:p w14:paraId="4EC89417" w14:textId="77777777" w:rsidR="00055D20" w:rsidRPr="009E38EE" w:rsidRDefault="00055D20" w:rsidP="007104CC">
      <w:pPr>
        <w:spacing w:line="360" w:lineRule="auto"/>
        <w:jc w:val="center"/>
        <w:rPr>
          <w:rFonts w:ascii="Times New Roman" w:hAnsi="Times New Roman" w:cs="Times New Roman"/>
          <w:b/>
        </w:rPr>
      </w:pPr>
    </w:p>
    <w:p w14:paraId="6181B22D" w14:textId="131B85ED" w:rsidR="00055D20" w:rsidRDefault="00055D20" w:rsidP="00EF799C">
      <w:pPr>
        <w:spacing w:after="120"/>
        <w:jc w:val="both"/>
        <w:rPr>
          <w:rFonts w:ascii="Times New Roman" w:hAnsi="Times New Roman" w:cs="Times New Roman"/>
        </w:rPr>
      </w:pPr>
      <w:r w:rsidRPr="00055D20">
        <w:rPr>
          <w:rFonts w:ascii="Times New Roman" w:hAnsi="Times New Roman" w:cs="Times New Roman"/>
        </w:rPr>
        <w:t>Marcela C. Machado</w:t>
      </w:r>
      <w:r>
        <w:rPr>
          <w:rStyle w:val="Refdenotaderodap"/>
          <w:rFonts w:ascii="Times New Roman" w:hAnsi="Times New Roman" w:cs="Times New Roman"/>
        </w:rPr>
        <w:footnoteReference w:id="1"/>
      </w:r>
      <w:r>
        <w:rPr>
          <w:rFonts w:ascii="Times New Roman" w:hAnsi="Times New Roman" w:cs="Times New Roman"/>
        </w:rPr>
        <w:t>;</w:t>
      </w:r>
      <w:r w:rsidRPr="00055D20">
        <w:rPr>
          <w:rFonts w:ascii="Times New Roman" w:hAnsi="Times New Roman" w:cs="Times New Roman"/>
        </w:rPr>
        <w:t xml:space="preserve"> Martinho Nery Filho</w:t>
      </w:r>
      <w:r>
        <w:rPr>
          <w:rStyle w:val="Refdenotaderodap"/>
          <w:rFonts w:ascii="Times New Roman" w:hAnsi="Times New Roman" w:cs="Times New Roman"/>
        </w:rPr>
        <w:footnoteReference w:id="2"/>
      </w:r>
      <w:r>
        <w:rPr>
          <w:rFonts w:ascii="Times New Roman" w:hAnsi="Times New Roman" w:cs="Times New Roman"/>
        </w:rPr>
        <w:t xml:space="preserve">; Dr. </w:t>
      </w:r>
      <w:proofErr w:type="spellStart"/>
      <w:r>
        <w:rPr>
          <w:rFonts w:ascii="Times New Roman" w:hAnsi="Times New Roman" w:cs="Times New Roman"/>
        </w:rPr>
        <w:t>Jonnas</w:t>
      </w:r>
      <w:proofErr w:type="spellEnd"/>
      <w:r>
        <w:rPr>
          <w:rFonts w:ascii="Times New Roman" w:hAnsi="Times New Roman" w:cs="Times New Roman"/>
        </w:rPr>
        <w:t xml:space="preserve"> Vasconcelos (orientador)</w:t>
      </w:r>
    </w:p>
    <w:p w14:paraId="756F36C1" w14:textId="77777777" w:rsidR="00055D20" w:rsidRDefault="00055D20" w:rsidP="006D3F8B">
      <w:pPr>
        <w:spacing w:after="120" w:line="360" w:lineRule="auto"/>
        <w:jc w:val="both"/>
        <w:rPr>
          <w:rFonts w:ascii="Times New Roman" w:hAnsi="Times New Roman" w:cs="Times New Roman"/>
          <w:b/>
        </w:rPr>
      </w:pPr>
    </w:p>
    <w:p w14:paraId="5042B245" w14:textId="286CEA8F" w:rsidR="007104CC" w:rsidRPr="009E38EE" w:rsidRDefault="007104CC" w:rsidP="006D3F8B">
      <w:pPr>
        <w:spacing w:after="120" w:line="360" w:lineRule="auto"/>
        <w:jc w:val="both"/>
        <w:rPr>
          <w:rFonts w:ascii="Times New Roman" w:hAnsi="Times New Roman" w:cs="Times New Roman"/>
        </w:rPr>
      </w:pPr>
      <w:r w:rsidRPr="009E38EE">
        <w:rPr>
          <w:rFonts w:ascii="Times New Roman" w:hAnsi="Times New Roman" w:cs="Times New Roman"/>
          <w:b/>
        </w:rPr>
        <w:t>RESUMO:</w:t>
      </w:r>
      <w:r w:rsidRPr="009E38EE">
        <w:rPr>
          <w:rFonts w:ascii="Times New Roman" w:hAnsi="Times New Roman" w:cs="Times New Roman"/>
        </w:rPr>
        <w:t xml:space="preserve"> </w:t>
      </w:r>
    </w:p>
    <w:p w14:paraId="7686254A" w14:textId="366AF189" w:rsidR="007104CC" w:rsidRPr="009E38EE" w:rsidRDefault="00F5732B" w:rsidP="00E4093D">
      <w:pPr>
        <w:jc w:val="both"/>
        <w:rPr>
          <w:rFonts w:ascii="Times New Roman" w:hAnsi="Times New Roman" w:cs="Times New Roman"/>
          <w:iCs/>
        </w:rPr>
      </w:pPr>
      <w:r w:rsidRPr="00F5732B">
        <w:rPr>
          <w:rFonts w:ascii="Times New Roman" w:hAnsi="Times New Roman" w:cs="Times New Roman"/>
          <w:iCs/>
        </w:rPr>
        <w:t>Os serviços postais são amplamente reconhecidos por desempenharem um papel importante dentro da sociedade. Desta forma, quase a totalidade dos Estados Nacionais incorpora nos seus marcos regulatórios a prestação do serviço postal de forma contínua e permanente. Ainda assim, observa-se em diversos países a existência de contingentes populacionais sem acesso aos referidos serviços, seja ao atendimento postal ou à distribuição domiciliar. O estudo aqui apresentado buscou realizar uma análise dos indicadores de universalização dos serviços postais do Brasil e compreender o estágio de cumprimento das suas metas, por meio de uma abordagem descritiva, bibliográfica e indutiva. Identificou-se a existência de lacunas relevantes na universalização dos referidos serviços. A análise dos indicadores adotados no período estudado, de 2016 a 2021, aponta que não há clareza na evolução dessas políticas</w:t>
      </w:r>
      <w:r w:rsidR="009E42A0">
        <w:rPr>
          <w:rFonts w:ascii="Times New Roman" w:hAnsi="Times New Roman" w:cs="Times New Roman"/>
          <w:iCs/>
        </w:rPr>
        <w:t>.</w:t>
      </w:r>
      <w:r w:rsidRPr="00F5732B">
        <w:rPr>
          <w:rFonts w:ascii="Times New Roman" w:hAnsi="Times New Roman" w:cs="Times New Roman"/>
          <w:iCs/>
        </w:rPr>
        <w:t xml:space="preserve"> Não foi possível identificar um modelo teórico que sustentasse a formulação das políticas públicas para o setor.</w:t>
      </w:r>
    </w:p>
    <w:p w14:paraId="6AB7E968" w14:textId="77777777" w:rsidR="00E4093D" w:rsidRDefault="00E4093D" w:rsidP="006D3F8B">
      <w:pPr>
        <w:spacing w:after="120" w:line="360" w:lineRule="auto"/>
        <w:jc w:val="both"/>
        <w:rPr>
          <w:rFonts w:ascii="Times New Roman" w:hAnsi="Times New Roman" w:cs="Times New Roman"/>
          <w:b/>
        </w:rPr>
      </w:pPr>
    </w:p>
    <w:p w14:paraId="13518FBB" w14:textId="77777777" w:rsidR="007104CC" w:rsidRPr="009E38EE" w:rsidRDefault="007104CC" w:rsidP="006D3F8B">
      <w:pPr>
        <w:spacing w:after="120" w:line="360" w:lineRule="auto"/>
        <w:jc w:val="both"/>
        <w:rPr>
          <w:rFonts w:ascii="Times New Roman" w:hAnsi="Times New Roman" w:cs="Times New Roman"/>
        </w:rPr>
      </w:pPr>
      <w:r w:rsidRPr="009E38EE">
        <w:rPr>
          <w:rFonts w:ascii="Times New Roman" w:hAnsi="Times New Roman" w:cs="Times New Roman"/>
          <w:b/>
        </w:rPr>
        <w:t>INTRODUÇÃO:</w:t>
      </w:r>
      <w:r w:rsidRPr="009E38EE">
        <w:rPr>
          <w:rFonts w:ascii="Times New Roman" w:hAnsi="Times New Roman" w:cs="Times New Roman"/>
        </w:rPr>
        <w:t xml:space="preserve"> </w:t>
      </w:r>
    </w:p>
    <w:p w14:paraId="7539D024" w14:textId="77777777" w:rsidR="00154BDB" w:rsidRPr="00154BDB" w:rsidRDefault="00154BDB" w:rsidP="00154BDB">
      <w:pPr>
        <w:spacing w:line="360" w:lineRule="auto"/>
        <w:jc w:val="both"/>
        <w:rPr>
          <w:rFonts w:ascii="Times New Roman" w:hAnsi="Times New Roman" w:cs="Times New Roman"/>
          <w:iCs/>
        </w:rPr>
      </w:pPr>
      <w:r w:rsidRPr="00154BDB">
        <w:rPr>
          <w:rFonts w:ascii="Times New Roman" w:hAnsi="Times New Roman" w:cs="Times New Roman"/>
          <w:iCs/>
        </w:rPr>
        <w:t>Os serviços postais são amplamente reconhecidos por desempenharem um papel importante dentro da sociedade. Eles são um componente vital das economias dos países, infraestrutura de comunicações e são um instrumento essencial para as comunicações e o comércio.</w:t>
      </w:r>
    </w:p>
    <w:p w14:paraId="45F2E04D" w14:textId="77777777" w:rsidR="00154BDB" w:rsidRPr="00154BDB" w:rsidRDefault="00154BDB" w:rsidP="00154BDB">
      <w:pPr>
        <w:spacing w:line="360" w:lineRule="auto"/>
        <w:jc w:val="both"/>
        <w:rPr>
          <w:rFonts w:ascii="Times New Roman" w:hAnsi="Times New Roman" w:cs="Times New Roman"/>
          <w:iCs/>
        </w:rPr>
      </w:pPr>
      <w:r w:rsidRPr="00154BDB">
        <w:rPr>
          <w:rFonts w:ascii="Times New Roman" w:hAnsi="Times New Roman" w:cs="Times New Roman"/>
          <w:iCs/>
        </w:rPr>
        <w:t xml:space="preserve">Em um mundo mudando rapidamente, os papeis que os serviços postais desempenham são vitais para o desenvolvimento do e-commerce, assegurando a entrega de centenas de milhões de encomendas diariamente. Além disso, os referidos serviços desempenham um papel essencial no desenvolvimento dos negócios, especialmente para as pequenas e médias empresas. Mais de 1,5 bilhão de pessoas em todo o mundo </w:t>
      </w:r>
      <w:r w:rsidRPr="00154BDB">
        <w:rPr>
          <w:rFonts w:ascii="Times New Roman" w:hAnsi="Times New Roman" w:cs="Times New Roman"/>
          <w:iCs/>
        </w:rPr>
        <w:lastRenderedPageBreak/>
        <w:t>têm acesso a serviços financeiros via agência postal. O setor postal é também uma infraestrutura essencial, que facilita o funcionamento da economia global, possuindo a maior rede integrada de distribuição no mundo e pode conectar qualquer pessoa em todo o mundo. Ele é o segundo maior responsável pela inclusão financeira. Em vários países, a rede postal é a maior rede nas áreas rurais e assegura o fornecimento de serviços financeiros, comunicações, logística e outros serviços de varejo e governamentais.</w:t>
      </w:r>
    </w:p>
    <w:p w14:paraId="1B6DEF21" w14:textId="1193C11E" w:rsidR="002C392F" w:rsidRDefault="00154BDB" w:rsidP="00154BDB">
      <w:pPr>
        <w:spacing w:line="360" w:lineRule="auto"/>
        <w:jc w:val="both"/>
        <w:rPr>
          <w:rFonts w:ascii="Times New Roman" w:hAnsi="Times New Roman" w:cs="Times New Roman"/>
          <w:iCs/>
        </w:rPr>
      </w:pPr>
      <w:r w:rsidRPr="00154BDB">
        <w:rPr>
          <w:rFonts w:ascii="Times New Roman" w:hAnsi="Times New Roman" w:cs="Times New Roman"/>
          <w:iCs/>
        </w:rPr>
        <w:t>Desta forma, quase a totalidade dos Estados Nacionais incorpora nos seus marcos regulatórios a prestação do serviço postal de forma contínua e permanente. Ainda assim, observa-se em diversos países a existência de contingentes populacionais sem acesso aos referidos serviços, seja ao atendimento postal ou à distribuição domiciliar.</w:t>
      </w:r>
    </w:p>
    <w:p w14:paraId="50B2925F" w14:textId="48D0F625" w:rsidR="00F5732B" w:rsidRDefault="00F5732B" w:rsidP="00154BDB">
      <w:pPr>
        <w:spacing w:line="360" w:lineRule="auto"/>
        <w:jc w:val="both"/>
        <w:rPr>
          <w:rFonts w:ascii="Times New Roman" w:hAnsi="Times New Roman" w:cs="Times New Roman"/>
          <w:iCs/>
        </w:rPr>
      </w:pPr>
      <w:r w:rsidRPr="00F5732B">
        <w:rPr>
          <w:rFonts w:ascii="Times New Roman" w:hAnsi="Times New Roman" w:cs="Times New Roman"/>
          <w:iCs/>
        </w:rPr>
        <w:t>Conforme pode ser verificado, o nível de universalização dos serviços postais no Brasil ainda se encontra muito aquém do encontrado nos países europeus, pelo que se estima que os custos de universalização dos serviços permanecerão elevados e poderão ser afetados pela tendência observada em diversos países de liberalização dos mercados e de extinção das áreas de serviços reservados ao operador postal designado, demandando outras fontes de financiamento.</w:t>
      </w:r>
    </w:p>
    <w:p w14:paraId="6C6458E3" w14:textId="762F9750" w:rsidR="00154BDB" w:rsidRDefault="00154BDB" w:rsidP="00154BDB">
      <w:pPr>
        <w:spacing w:line="360" w:lineRule="auto"/>
        <w:jc w:val="both"/>
        <w:rPr>
          <w:rFonts w:ascii="Times New Roman" w:hAnsi="Times New Roman" w:cs="Times New Roman"/>
          <w:iCs/>
        </w:rPr>
      </w:pPr>
      <w:r>
        <w:rPr>
          <w:rFonts w:ascii="Times New Roman" w:hAnsi="Times New Roman" w:cs="Times New Roman"/>
          <w:iCs/>
        </w:rPr>
        <w:t xml:space="preserve">O estudo aqui apresentado buscou </w:t>
      </w:r>
      <w:r w:rsidRPr="00154BDB">
        <w:rPr>
          <w:rFonts w:ascii="Times New Roman" w:hAnsi="Times New Roman" w:cs="Times New Roman"/>
          <w:iCs/>
        </w:rPr>
        <w:t>realizar uma análise dos indicadores de universalização dos serviços postais do Brasil e compreender o estágio de cumprimento das suas metas.</w:t>
      </w:r>
      <w:r w:rsidR="00EF799C">
        <w:rPr>
          <w:rFonts w:ascii="Times New Roman" w:hAnsi="Times New Roman" w:cs="Times New Roman"/>
          <w:iCs/>
        </w:rPr>
        <w:t xml:space="preserve"> </w:t>
      </w:r>
    </w:p>
    <w:p w14:paraId="48FE4B43" w14:textId="77777777" w:rsidR="002C392F" w:rsidRPr="002C392F" w:rsidRDefault="002C392F" w:rsidP="006D3F8B">
      <w:pPr>
        <w:spacing w:line="360" w:lineRule="auto"/>
        <w:jc w:val="both"/>
        <w:rPr>
          <w:rFonts w:ascii="Times New Roman" w:hAnsi="Times New Roman" w:cs="Times New Roman"/>
          <w:iCs/>
        </w:rPr>
      </w:pPr>
    </w:p>
    <w:p w14:paraId="141A9933" w14:textId="77777777" w:rsidR="007104CC" w:rsidRPr="009E38EE" w:rsidRDefault="007104CC" w:rsidP="007104CC">
      <w:pPr>
        <w:jc w:val="both"/>
        <w:rPr>
          <w:rFonts w:ascii="Times New Roman" w:hAnsi="Times New Roman" w:cs="Times New Roman"/>
        </w:rPr>
      </w:pPr>
      <w:r w:rsidRPr="009E38EE">
        <w:rPr>
          <w:rFonts w:ascii="Times New Roman" w:hAnsi="Times New Roman" w:cs="Times New Roman"/>
          <w:b/>
        </w:rPr>
        <w:t>PALAVRAS-CHAVE:</w:t>
      </w:r>
      <w:r w:rsidRPr="009E38EE">
        <w:rPr>
          <w:rFonts w:ascii="Times New Roman" w:hAnsi="Times New Roman" w:cs="Times New Roman"/>
        </w:rPr>
        <w:t xml:space="preserve"> </w:t>
      </w:r>
    </w:p>
    <w:p w14:paraId="597296D3" w14:textId="1A8F965A" w:rsidR="002C392F" w:rsidRPr="009E38EE" w:rsidRDefault="002C392F" w:rsidP="007104CC">
      <w:pPr>
        <w:jc w:val="both"/>
        <w:rPr>
          <w:rFonts w:ascii="Times New Roman" w:hAnsi="Times New Roman" w:cs="Times New Roman"/>
        </w:rPr>
      </w:pPr>
      <w:r w:rsidRPr="002C392F">
        <w:rPr>
          <w:rFonts w:ascii="Times New Roman" w:hAnsi="Times New Roman" w:cs="Times New Roman"/>
        </w:rPr>
        <w:t>Serviços postais. Serviços públicos. Políticas públicas. Universalização.</w:t>
      </w:r>
    </w:p>
    <w:p w14:paraId="0CF5A765" w14:textId="77777777" w:rsidR="007104CC" w:rsidRPr="00983ED1" w:rsidRDefault="007104CC" w:rsidP="007104CC">
      <w:pPr>
        <w:jc w:val="both"/>
        <w:rPr>
          <w:rFonts w:ascii="Times New Roman" w:hAnsi="Times New Roman" w:cs="Times New Roman"/>
          <w:b/>
        </w:rPr>
      </w:pPr>
    </w:p>
    <w:p w14:paraId="47239074" w14:textId="77777777" w:rsidR="007104CC" w:rsidRPr="009E38EE" w:rsidRDefault="007104CC" w:rsidP="00CD5DBB">
      <w:pPr>
        <w:spacing w:after="120" w:line="360" w:lineRule="auto"/>
        <w:jc w:val="both"/>
        <w:rPr>
          <w:rFonts w:ascii="Times New Roman" w:hAnsi="Times New Roman" w:cs="Times New Roman"/>
          <w:b/>
        </w:rPr>
      </w:pPr>
      <w:r w:rsidRPr="009E38EE">
        <w:rPr>
          <w:rFonts w:ascii="Times New Roman" w:hAnsi="Times New Roman" w:cs="Times New Roman"/>
          <w:b/>
        </w:rPr>
        <w:t>MÉTODO:</w:t>
      </w:r>
      <w:r w:rsidRPr="00CD5DBB">
        <w:rPr>
          <w:rFonts w:ascii="Times New Roman" w:hAnsi="Times New Roman" w:cs="Times New Roman"/>
          <w:b/>
        </w:rPr>
        <w:t xml:space="preserve"> </w:t>
      </w:r>
    </w:p>
    <w:p w14:paraId="37D62D46" w14:textId="5934E3C2" w:rsidR="003078D1" w:rsidRPr="003078D1" w:rsidRDefault="003078D1" w:rsidP="003078D1">
      <w:pPr>
        <w:spacing w:line="360" w:lineRule="auto"/>
        <w:jc w:val="both"/>
        <w:rPr>
          <w:rFonts w:ascii="Times New Roman" w:hAnsi="Times New Roman" w:cs="Times New Roman"/>
          <w:iCs/>
        </w:rPr>
      </w:pPr>
      <w:r w:rsidRPr="003078D1">
        <w:rPr>
          <w:rFonts w:ascii="Times New Roman" w:hAnsi="Times New Roman" w:cs="Times New Roman"/>
          <w:iCs/>
        </w:rPr>
        <w:t xml:space="preserve">Adotando a taxonomia de Vergara (2016), classifica-se a pesquisa quanto aos fins e quanto aos meios. Quanto aos fins, </w:t>
      </w:r>
      <w:r>
        <w:rPr>
          <w:rFonts w:ascii="Times New Roman" w:hAnsi="Times New Roman" w:cs="Times New Roman"/>
          <w:iCs/>
        </w:rPr>
        <w:t>foi</w:t>
      </w:r>
      <w:r w:rsidRPr="003078D1">
        <w:rPr>
          <w:rFonts w:ascii="Times New Roman" w:hAnsi="Times New Roman" w:cs="Times New Roman"/>
          <w:iCs/>
        </w:rPr>
        <w:t xml:space="preserve"> uma pesquisa</w:t>
      </w:r>
      <w:r>
        <w:rPr>
          <w:rFonts w:ascii="Times New Roman" w:hAnsi="Times New Roman" w:cs="Times New Roman"/>
          <w:iCs/>
        </w:rPr>
        <w:t xml:space="preserve"> descritiva</w:t>
      </w:r>
      <w:r w:rsidR="00286976">
        <w:rPr>
          <w:rFonts w:ascii="Times New Roman" w:hAnsi="Times New Roman" w:cs="Times New Roman"/>
          <w:iCs/>
        </w:rPr>
        <w:t>,</w:t>
      </w:r>
      <w:r w:rsidRPr="003078D1">
        <w:rPr>
          <w:rFonts w:ascii="Times New Roman" w:hAnsi="Times New Roman" w:cs="Times New Roman"/>
          <w:iCs/>
        </w:rPr>
        <w:t xml:space="preserve"> na medida em que </w:t>
      </w:r>
      <w:r w:rsidR="00286976">
        <w:rPr>
          <w:rFonts w:ascii="Times New Roman" w:hAnsi="Times New Roman" w:cs="Times New Roman"/>
          <w:iCs/>
        </w:rPr>
        <w:t>se buscou identificar</w:t>
      </w:r>
      <w:r w:rsidRPr="003078D1">
        <w:rPr>
          <w:rFonts w:ascii="Times New Roman" w:hAnsi="Times New Roman" w:cs="Times New Roman"/>
          <w:iCs/>
        </w:rPr>
        <w:t xml:space="preserve"> as características </w:t>
      </w:r>
      <w:r>
        <w:rPr>
          <w:rFonts w:ascii="Times New Roman" w:hAnsi="Times New Roman" w:cs="Times New Roman"/>
          <w:iCs/>
        </w:rPr>
        <w:t>dos atos normativos brasileiros</w:t>
      </w:r>
      <w:r w:rsidRPr="003078D1">
        <w:rPr>
          <w:rFonts w:ascii="Times New Roman" w:hAnsi="Times New Roman" w:cs="Times New Roman"/>
          <w:iCs/>
        </w:rPr>
        <w:t xml:space="preserve"> no que concerne à </w:t>
      </w:r>
      <w:r>
        <w:rPr>
          <w:rFonts w:ascii="Times New Roman" w:hAnsi="Times New Roman" w:cs="Times New Roman"/>
          <w:iCs/>
        </w:rPr>
        <w:t>universalização dos serviços postais, bem como os níveis de realização das metas estabelecidas</w:t>
      </w:r>
      <w:r w:rsidRPr="003078D1">
        <w:rPr>
          <w:rFonts w:ascii="Times New Roman" w:hAnsi="Times New Roman" w:cs="Times New Roman"/>
          <w:iCs/>
        </w:rPr>
        <w:t>.</w:t>
      </w:r>
      <w:r>
        <w:rPr>
          <w:rFonts w:ascii="Times New Roman" w:hAnsi="Times New Roman" w:cs="Times New Roman"/>
          <w:iCs/>
        </w:rPr>
        <w:t xml:space="preserve"> </w:t>
      </w:r>
      <w:r w:rsidRPr="003078D1">
        <w:rPr>
          <w:rFonts w:ascii="Times New Roman" w:hAnsi="Times New Roman" w:cs="Times New Roman"/>
          <w:iCs/>
        </w:rPr>
        <w:t xml:space="preserve">Quanto aos meios, </w:t>
      </w:r>
      <w:r>
        <w:rPr>
          <w:rFonts w:ascii="Times New Roman" w:hAnsi="Times New Roman" w:cs="Times New Roman"/>
          <w:iCs/>
        </w:rPr>
        <w:t>foi uma</w:t>
      </w:r>
      <w:r w:rsidRPr="003078D1">
        <w:rPr>
          <w:rFonts w:ascii="Times New Roman" w:hAnsi="Times New Roman" w:cs="Times New Roman"/>
          <w:iCs/>
        </w:rPr>
        <w:t xml:space="preserve"> pesquisa bibliográfica. Na primeira etapa, </w:t>
      </w:r>
      <w:r>
        <w:rPr>
          <w:rFonts w:ascii="Times New Roman" w:hAnsi="Times New Roman" w:cs="Times New Roman"/>
          <w:iCs/>
        </w:rPr>
        <w:t>foi</w:t>
      </w:r>
      <w:r w:rsidRPr="003078D1">
        <w:rPr>
          <w:rFonts w:ascii="Times New Roman" w:hAnsi="Times New Roman" w:cs="Times New Roman"/>
          <w:iCs/>
        </w:rPr>
        <w:t xml:space="preserve"> realizado um estudo sistemático em livros, artigos, teses e dissertações que tratam do tema, objetivando compor um referencial da produção teórica. Na segunda etapa, </w:t>
      </w:r>
      <w:r>
        <w:rPr>
          <w:rFonts w:ascii="Times New Roman" w:hAnsi="Times New Roman" w:cs="Times New Roman"/>
          <w:iCs/>
        </w:rPr>
        <w:lastRenderedPageBreak/>
        <w:t xml:space="preserve">foi </w:t>
      </w:r>
      <w:r w:rsidRPr="003078D1">
        <w:rPr>
          <w:rFonts w:ascii="Times New Roman" w:hAnsi="Times New Roman" w:cs="Times New Roman"/>
          <w:iCs/>
        </w:rPr>
        <w:t xml:space="preserve">realizada uma pesquisa em fontes de dados secundários, </w:t>
      </w:r>
      <w:r w:rsidR="00286976">
        <w:rPr>
          <w:rFonts w:ascii="Times New Roman" w:hAnsi="Times New Roman" w:cs="Times New Roman"/>
          <w:iCs/>
        </w:rPr>
        <w:t>com a finalidade de</w:t>
      </w:r>
      <w:r w:rsidR="009B1495">
        <w:rPr>
          <w:rFonts w:ascii="Times New Roman" w:hAnsi="Times New Roman" w:cs="Times New Roman"/>
          <w:iCs/>
        </w:rPr>
        <w:t xml:space="preserve"> identificar</w:t>
      </w:r>
      <w:r w:rsidRPr="003078D1">
        <w:rPr>
          <w:rFonts w:ascii="Times New Roman" w:hAnsi="Times New Roman" w:cs="Times New Roman"/>
          <w:iCs/>
        </w:rPr>
        <w:t xml:space="preserve"> </w:t>
      </w:r>
      <w:r w:rsidR="002F5058">
        <w:rPr>
          <w:rFonts w:ascii="Times New Roman" w:hAnsi="Times New Roman" w:cs="Times New Roman"/>
          <w:iCs/>
        </w:rPr>
        <w:t xml:space="preserve">os atos normativos que estabelecem as políticas de universalização dos serviços postais, bem como o estágio de realização das metas previstas. </w:t>
      </w:r>
      <w:r w:rsidRPr="003078D1">
        <w:rPr>
          <w:rFonts w:ascii="Times New Roman" w:hAnsi="Times New Roman" w:cs="Times New Roman"/>
          <w:iCs/>
        </w:rPr>
        <w:t xml:space="preserve"> </w:t>
      </w:r>
    </w:p>
    <w:p w14:paraId="62ED030E" w14:textId="013F4E9C" w:rsidR="00571777" w:rsidRPr="003078D1" w:rsidRDefault="003078D1" w:rsidP="003078D1">
      <w:pPr>
        <w:spacing w:line="360" w:lineRule="auto"/>
        <w:jc w:val="both"/>
        <w:rPr>
          <w:rFonts w:ascii="Times New Roman" w:hAnsi="Times New Roman" w:cs="Times New Roman"/>
          <w:iCs/>
        </w:rPr>
      </w:pPr>
      <w:r w:rsidRPr="003078D1">
        <w:rPr>
          <w:rFonts w:ascii="Times New Roman" w:hAnsi="Times New Roman" w:cs="Times New Roman"/>
          <w:iCs/>
        </w:rPr>
        <w:t xml:space="preserve">O tratamento dos dados </w:t>
      </w:r>
      <w:r w:rsidR="002F5058">
        <w:rPr>
          <w:rFonts w:ascii="Times New Roman" w:hAnsi="Times New Roman" w:cs="Times New Roman"/>
          <w:iCs/>
        </w:rPr>
        <w:t>foi feito por meio</w:t>
      </w:r>
      <w:r w:rsidRPr="003078D1">
        <w:rPr>
          <w:rFonts w:ascii="Times New Roman" w:hAnsi="Times New Roman" w:cs="Times New Roman"/>
          <w:iCs/>
        </w:rPr>
        <w:t xml:space="preserve"> do método </w:t>
      </w:r>
      <w:r w:rsidR="002F5058">
        <w:rPr>
          <w:rFonts w:ascii="Times New Roman" w:hAnsi="Times New Roman" w:cs="Times New Roman"/>
          <w:iCs/>
        </w:rPr>
        <w:t>indutivo</w:t>
      </w:r>
      <w:r w:rsidR="00110AC0">
        <w:rPr>
          <w:rFonts w:ascii="Times New Roman" w:hAnsi="Times New Roman" w:cs="Times New Roman"/>
          <w:iCs/>
        </w:rPr>
        <w:t>, partindo-se da observação da realidade concreta das políticas públicas de universalização dos serviços postais</w:t>
      </w:r>
      <w:r w:rsidR="007613F8">
        <w:rPr>
          <w:rFonts w:ascii="Times New Roman" w:hAnsi="Times New Roman" w:cs="Times New Roman"/>
          <w:iCs/>
        </w:rPr>
        <w:t>, dos seus indicadores e metas para tentar identificar um modelo teórico</w:t>
      </w:r>
      <w:r w:rsidR="00522577">
        <w:rPr>
          <w:rFonts w:ascii="Times New Roman" w:hAnsi="Times New Roman" w:cs="Times New Roman"/>
          <w:iCs/>
        </w:rPr>
        <w:t xml:space="preserve"> que os sustentasse. </w:t>
      </w:r>
      <w:r w:rsidR="007613F8">
        <w:rPr>
          <w:rFonts w:ascii="Times New Roman" w:hAnsi="Times New Roman" w:cs="Times New Roman"/>
          <w:iCs/>
        </w:rPr>
        <w:t xml:space="preserve"> </w:t>
      </w:r>
    </w:p>
    <w:p w14:paraId="7D431854" w14:textId="77777777" w:rsidR="007104CC" w:rsidRPr="009E38EE" w:rsidRDefault="007104CC" w:rsidP="006D3F8B">
      <w:pPr>
        <w:spacing w:line="360" w:lineRule="auto"/>
        <w:rPr>
          <w:rFonts w:ascii="Times New Roman" w:hAnsi="Times New Roman" w:cs="Times New Roman"/>
          <w:b/>
          <w:sz w:val="18"/>
          <w:szCs w:val="18"/>
        </w:rPr>
      </w:pPr>
    </w:p>
    <w:p w14:paraId="120942CF" w14:textId="77777777" w:rsidR="007104CC" w:rsidRPr="009E38EE" w:rsidRDefault="007104CC" w:rsidP="006D3F8B">
      <w:pPr>
        <w:spacing w:line="360" w:lineRule="auto"/>
        <w:rPr>
          <w:rFonts w:ascii="Times New Roman" w:hAnsi="Times New Roman" w:cs="Times New Roman"/>
        </w:rPr>
      </w:pPr>
      <w:r w:rsidRPr="009E38EE">
        <w:rPr>
          <w:rFonts w:ascii="Times New Roman" w:hAnsi="Times New Roman" w:cs="Times New Roman"/>
          <w:b/>
        </w:rPr>
        <w:t>RESULTADOS E DISCUSSÕES:</w:t>
      </w:r>
      <w:r w:rsidRPr="009E38EE">
        <w:rPr>
          <w:rFonts w:ascii="Times New Roman" w:hAnsi="Times New Roman" w:cs="Times New Roman"/>
        </w:rPr>
        <w:t xml:space="preserve"> </w:t>
      </w:r>
    </w:p>
    <w:p w14:paraId="220CABA1" w14:textId="77777777" w:rsidR="00897156" w:rsidRPr="00897156" w:rsidRDefault="00897156" w:rsidP="00897156">
      <w:pPr>
        <w:spacing w:line="360" w:lineRule="auto"/>
        <w:jc w:val="both"/>
        <w:rPr>
          <w:rFonts w:ascii="Times New Roman" w:hAnsi="Times New Roman" w:cs="Times New Roman"/>
        </w:rPr>
      </w:pPr>
      <w:r w:rsidRPr="00897156">
        <w:rPr>
          <w:rFonts w:ascii="Times New Roman" w:hAnsi="Times New Roman" w:cs="Times New Roman"/>
        </w:rPr>
        <w:t>Com base nos relatórios de gestão dos Correios, de 2016 a 2021, apresenta-se, a seguir, o histórico de resultados dos indicadores estratégicos de universalização do atendimento e da distribuição, conforme diretrizes estabelecidas aos Correios pela Portaria Interministerial nº 4.474/2018 e pela Portaria MCOM nº 2.729/2021.</w:t>
      </w:r>
    </w:p>
    <w:p w14:paraId="68682517" w14:textId="679CE9F5" w:rsidR="00154BDB" w:rsidRPr="00D47644" w:rsidRDefault="00897156" w:rsidP="00897156">
      <w:pPr>
        <w:spacing w:line="360" w:lineRule="auto"/>
        <w:jc w:val="both"/>
        <w:rPr>
          <w:rFonts w:ascii="Times New Roman" w:hAnsi="Times New Roman" w:cs="Times New Roman"/>
          <w:b/>
        </w:rPr>
      </w:pPr>
      <w:r w:rsidRPr="00D47644">
        <w:rPr>
          <w:rFonts w:ascii="Times New Roman" w:hAnsi="Times New Roman" w:cs="Times New Roman"/>
          <w:b/>
        </w:rPr>
        <w:t xml:space="preserve">Tabela </w:t>
      </w:r>
      <w:r w:rsidR="009E7026" w:rsidRPr="00D47644">
        <w:rPr>
          <w:rFonts w:ascii="Times New Roman" w:hAnsi="Times New Roman" w:cs="Times New Roman"/>
          <w:b/>
        </w:rPr>
        <w:t>1</w:t>
      </w:r>
      <w:r w:rsidRPr="00D47644">
        <w:rPr>
          <w:rFonts w:ascii="Times New Roman" w:hAnsi="Times New Roman" w:cs="Times New Roman"/>
          <w:b/>
        </w:rPr>
        <w:t xml:space="preserve"> - Indicadores estratégicos de universalização, de 2016 a 2021</w:t>
      </w:r>
    </w:p>
    <w:tbl>
      <w:tblPr>
        <w:tblW w:w="8423" w:type="dxa"/>
        <w:tblLayout w:type="fixed"/>
        <w:tblCellMar>
          <w:left w:w="0" w:type="dxa"/>
          <w:right w:w="0" w:type="dxa"/>
        </w:tblCellMar>
        <w:tblLook w:val="0000" w:firstRow="0" w:lastRow="0" w:firstColumn="0" w:lastColumn="0" w:noHBand="0" w:noVBand="0"/>
      </w:tblPr>
      <w:tblGrid>
        <w:gridCol w:w="1583"/>
        <w:gridCol w:w="1141"/>
        <w:gridCol w:w="1139"/>
        <w:gridCol w:w="1141"/>
        <w:gridCol w:w="1139"/>
        <w:gridCol w:w="1141"/>
        <w:gridCol w:w="1139"/>
      </w:tblGrid>
      <w:tr w:rsidR="009E7026" w:rsidRPr="00422160" w14:paraId="78756E35" w14:textId="77777777" w:rsidTr="00962ADB">
        <w:trPr>
          <w:trHeight w:val="521"/>
        </w:trPr>
        <w:tc>
          <w:tcPr>
            <w:tcW w:w="1583" w:type="dxa"/>
            <w:tcBorders>
              <w:top w:val="single" w:sz="4" w:space="0" w:color="000000"/>
              <w:left w:val="none" w:sz="6" w:space="0" w:color="auto"/>
              <w:bottom w:val="single" w:sz="4" w:space="0" w:color="000000"/>
              <w:right w:val="single" w:sz="4" w:space="0" w:color="000000"/>
            </w:tcBorders>
            <w:shd w:val="clear" w:color="auto" w:fill="F1F1F1"/>
          </w:tcPr>
          <w:p w14:paraId="3F3402FC" w14:textId="77777777" w:rsidR="009E7026" w:rsidRPr="00422160" w:rsidRDefault="009E7026" w:rsidP="00962ADB">
            <w:pPr>
              <w:kinsoku w:val="0"/>
              <w:overflowPunct w:val="0"/>
              <w:autoSpaceDE w:val="0"/>
              <w:autoSpaceDN w:val="0"/>
              <w:adjustRightInd w:val="0"/>
              <w:spacing w:line="240" w:lineRule="atLeast"/>
              <w:ind w:left="347" w:right="273" w:firstLine="19"/>
              <w:rPr>
                <w:rFonts w:ascii="Calibri" w:hAnsi="Calibri" w:cs="Calibri"/>
                <w:b/>
                <w:bCs/>
                <w:spacing w:val="-2"/>
                <w:sz w:val="18"/>
                <w:szCs w:val="18"/>
              </w:rPr>
            </w:pPr>
            <w:r w:rsidRPr="00422160">
              <w:rPr>
                <w:rFonts w:ascii="Calibri" w:hAnsi="Calibri" w:cs="Calibri"/>
                <w:b/>
                <w:bCs/>
                <w:spacing w:val="-2"/>
                <w:sz w:val="18"/>
                <w:szCs w:val="18"/>
              </w:rPr>
              <w:t>Indicadores estratégicos</w:t>
            </w:r>
          </w:p>
        </w:tc>
        <w:tc>
          <w:tcPr>
            <w:tcW w:w="1141" w:type="dxa"/>
            <w:tcBorders>
              <w:top w:val="single" w:sz="4" w:space="0" w:color="000000"/>
              <w:left w:val="single" w:sz="4" w:space="0" w:color="000000"/>
              <w:bottom w:val="single" w:sz="4" w:space="0" w:color="000000"/>
              <w:right w:val="single" w:sz="4" w:space="0" w:color="000000"/>
            </w:tcBorders>
            <w:shd w:val="clear" w:color="auto" w:fill="F1F1F1"/>
          </w:tcPr>
          <w:p w14:paraId="4963500B" w14:textId="77777777" w:rsidR="009E7026" w:rsidRPr="00422160" w:rsidRDefault="009E7026" w:rsidP="00962ADB">
            <w:pPr>
              <w:kinsoku w:val="0"/>
              <w:overflowPunct w:val="0"/>
              <w:autoSpaceDE w:val="0"/>
              <w:autoSpaceDN w:val="0"/>
              <w:adjustRightInd w:val="0"/>
              <w:spacing w:line="240" w:lineRule="atLeast"/>
              <w:ind w:left="404" w:hanging="214"/>
              <w:rPr>
                <w:rFonts w:ascii="Calibri" w:hAnsi="Calibri" w:cs="Calibri"/>
                <w:b/>
                <w:bCs/>
                <w:spacing w:val="-4"/>
                <w:sz w:val="18"/>
                <w:szCs w:val="18"/>
              </w:rPr>
            </w:pPr>
            <w:r w:rsidRPr="00422160">
              <w:rPr>
                <w:rFonts w:ascii="Calibri" w:hAnsi="Calibri" w:cs="Calibri"/>
                <w:b/>
                <w:bCs/>
                <w:spacing w:val="-2"/>
                <w:sz w:val="18"/>
                <w:szCs w:val="18"/>
              </w:rPr>
              <w:t xml:space="preserve">Resultado </w:t>
            </w:r>
            <w:r w:rsidRPr="00422160">
              <w:rPr>
                <w:rFonts w:ascii="Calibri" w:hAnsi="Calibri" w:cs="Calibri"/>
                <w:b/>
                <w:bCs/>
                <w:spacing w:val="-4"/>
                <w:sz w:val="18"/>
                <w:szCs w:val="18"/>
              </w:rPr>
              <w:t>2016</w:t>
            </w:r>
          </w:p>
        </w:tc>
        <w:tc>
          <w:tcPr>
            <w:tcW w:w="1139" w:type="dxa"/>
            <w:tcBorders>
              <w:top w:val="single" w:sz="4" w:space="0" w:color="000000"/>
              <w:left w:val="single" w:sz="4" w:space="0" w:color="000000"/>
              <w:bottom w:val="single" w:sz="4" w:space="0" w:color="000000"/>
              <w:right w:val="single" w:sz="4" w:space="0" w:color="000000"/>
            </w:tcBorders>
            <w:shd w:val="clear" w:color="auto" w:fill="F1F1F1"/>
          </w:tcPr>
          <w:p w14:paraId="02028F51" w14:textId="77777777" w:rsidR="009E7026" w:rsidRPr="00422160" w:rsidRDefault="009E7026" w:rsidP="00962ADB">
            <w:pPr>
              <w:kinsoku w:val="0"/>
              <w:overflowPunct w:val="0"/>
              <w:autoSpaceDE w:val="0"/>
              <w:autoSpaceDN w:val="0"/>
              <w:adjustRightInd w:val="0"/>
              <w:spacing w:line="240" w:lineRule="atLeast"/>
              <w:ind w:left="402" w:right="194" w:hanging="214"/>
              <w:rPr>
                <w:rFonts w:ascii="Calibri" w:hAnsi="Calibri" w:cs="Calibri"/>
                <w:b/>
                <w:bCs/>
                <w:spacing w:val="-4"/>
                <w:sz w:val="18"/>
                <w:szCs w:val="18"/>
              </w:rPr>
            </w:pPr>
            <w:r w:rsidRPr="00422160">
              <w:rPr>
                <w:rFonts w:ascii="Calibri" w:hAnsi="Calibri" w:cs="Calibri"/>
                <w:b/>
                <w:bCs/>
                <w:spacing w:val="-2"/>
                <w:sz w:val="18"/>
                <w:szCs w:val="18"/>
              </w:rPr>
              <w:t xml:space="preserve">Resultado </w:t>
            </w:r>
            <w:r w:rsidRPr="00422160">
              <w:rPr>
                <w:rFonts w:ascii="Calibri" w:hAnsi="Calibri" w:cs="Calibri"/>
                <w:b/>
                <w:bCs/>
                <w:spacing w:val="-4"/>
                <w:sz w:val="18"/>
                <w:szCs w:val="18"/>
              </w:rPr>
              <w:t>2017</w:t>
            </w:r>
          </w:p>
        </w:tc>
        <w:tc>
          <w:tcPr>
            <w:tcW w:w="1141" w:type="dxa"/>
            <w:tcBorders>
              <w:top w:val="single" w:sz="4" w:space="0" w:color="000000"/>
              <w:left w:val="single" w:sz="4" w:space="0" w:color="000000"/>
              <w:bottom w:val="single" w:sz="4" w:space="0" w:color="000000"/>
              <w:right w:val="single" w:sz="4" w:space="0" w:color="000000"/>
            </w:tcBorders>
            <w:shd w:val="clear" w:color="auto" w:fill="F1F1F1"/>
          </w:tcPr>
          <w:p w14:paraId="3740B752" w14:textId="77777777" w:rsidR="009E7026" w:rsidRPr="00422160" w:rsidRDefault="009E7026" w:rsidP="00962ADB">
            <w:pPr>
              <w:kinsoku w:val="0"/>
              <w:overflowPunct w:val="0"/>
              <w:autoSpaceDE w:val="0"/>
              <w:autoSpaceDN w:val="0"/>
              <w:adjustRightInd w:val="0"/>
              <w:spacing w:line="240" w:lineRule="atLeast"/>
              <w:ind w:left="404" w:hanging="214"/>
              <w:rPr>
                <w:rFonts w:ascii="Calibri" w:hAnsi="Calibri" w:cs="Calibri"/>
                <w:b/>
                <w:bCs/>
                <w:spacing w:val="-4"/>
                <w:sz w:val="18"/>
                <w:szCs w:val="18"/>
              </w:rPr>
            </w:pPr>
            <w:r w:rsidRPr="00422160">
              <w:rPr>
                <w:rFonts w:ascii="Calibri" w:hAnsi="Calibri" w:cs="Calibri"/>
                <w:b/>
                <w:bCs/>
                <w:spacing w:val="-2"/>
                <w:sz w:val="18"/>
                <w:szCs w:val="18"/>
              </w:rPr>
              <w:t xml:space="preserve">Resultado </w:t>
            </w:r>
            <w:r w:rsidRPr="00422160">
              <w:rPr>
                <w:rFonts w:ascii="Calibri" w:hAnsi="Calibri" w:cs="Calibri"/>
                <w:b/>
                <w:bCs/>
                <w:spacing w:val="-4"/>
                <w:sz w:val="18"/>
                <w:szCs w:val="18"/>
              </w:rPr>
              <w:t>2018</w:t>
            </w:r>
          </w:p>
        </w:tc>
        <w:tc>
          <w:tcPr>
            <w:tcW w:w="1139" w:type="dxa"/>
            <w:tcBorders>
              <w:top w:val="single" w:sz="4" w:space="0" w:color="000000"/>
              <w:left w:val="single" w:sz="4" w:space="0" w:color="000000"/>
              <w:bottom w:val="single" w:sz="4" w:space="0" w:color="000000"/>
              <w:right w:val="single" w:sz="4" w:space="0" w:color="000000"/>
            </w:tcBorders>
            <w:shd w:val="clear" w:color="auto" w:fill="F1F1F1"/>
          </w:tcPr>
          <w:p w14:paraId="48C594AA" w14:textId="77777777" w:rsidR="009E7026" w:rsidRPr="00422160" w:rsidRDefault="009E7026" w:rsidP="00962ADB">
            <w:pPr>
              <w:kinsoku w:val="0"/>
              <w:overflowPunct w:val="0"/>
              <w:autoSpaceDE w:val="0"/>
              <w:autoSpaceDN w:val="0"/>
              <w:adjustRightInd w:val="0"/>
              <w:spacing w:line="240" w:lineRule="atLeast"/>
              <w:ind w:left="404" w:hanging="215"/>
              <w:rPr>
                <w:rFonts w:ascii="Calibri" w:hAnsi="Calibri" w:cs="Calibri"/>
                <w:b/>
                <w:bCs/>
                <w:spacing w:val="-4"/>
                <w:sz w:val="18"/>
                <w:szCs w:val="18"/>
              </w:rPr>
            </w:pPr>
            <w:r w:rsidRPr="00422160">
              <w:rPr>
                <w:rFonts w:ascii="Calibri" w:hAnsi="Calibri" w:cs="Calibri"/>
                <w:b/>
                <w:bCs/>
                <w:spacing w:val="-2"/>
                <w:sz w:val="18"/>
                <w:szCs w:val="18"/>
              </w:rPr>
              <w:t xml:space="preserve">Resultado </w:t>
            </w:r>
            <w:r w:rsidRPr="00422160">
              <w:rPr>
                <w:rFonts w:ascii="Calibri" w:hAnsi="Calibri" w:cs="Calibri"/>
                <w:b/>
                <w:bCs/>
                <w:spacing w:val="-4"/>
                <w:sz w:val="18"/>
                <w:szCs w:val="18"/>
              </w:rPr>
              <w:t>2019</w:t>
            </w:r>
          </w:p>
        </w:tc>
        <w:tc>
          <w:tcPr>
            <w:tcW w:w="1141" w:type="dxa"/>
            <w:tcBorders>
              <w:top w:val="single" w:sz="4" w:space="0" w:color="000000"/>
              <w:left w:val="single" w:sz="4" w:space="0" w:color="000000"/>
              <w:bottom w:val="single" w:sz="4" w:space="0" w:color="000000"/>
              <w:right w:val="single" w:sz="4" w:space="0" w:color="000000"/>
            </w:tcBorders>
            <w:shd w:val="clear" w:color="auto" w:fill="F1F1F1"/>
          </w:tcPr>
          <w:p w14:paraId="5EE5205D" w14:textId="77777777" w:rsidR="009E7026" w:rsidRPr="00422160" w:rsidRDefault="009E7026" w:rsidP="00962ADB">
            <w:pPr>
              <w:kinsoku w:val="0"/>
              <w:overflowPunct w:val="0"/>
              <w:autoSpaceDE w:val="0"/>
              <w:autoSpaceDN w:val="0"/>
              <w:adjustRightInd w:val="0"/>
              <w:spacing w:line="240" w:lineRule="atLeast"/>
              <w:ind w:left="404" w:right="194" w:hanging="214"/>
              <w:rPr>
                <w:rFonts w:ascii="Calibri" w:hAnsi="Calibri" w:cs="Calibri"/>
                <w:b/>
                <w:bCs/>
                <w:spacing w:val="-4"/>
                <w:sz w:val="18"/>
                <w:szCs w:val="18"/>
              </w:rPr>
            </w:pPr>
            <w:r w:rsidRPr="00422160">
              <w:rPr>
                <w:rFonts w:ascii="Calibri" w:hAnsi="Calibri" w:cs="Calibri"/>
                <w:b/>
                <w:bCs/>
                <w:spacing w:val="-2"/>
                <w:sz w:val="18"/>
                <w:szCs w:val="18"/>
              </w:rPr>
              <w:t xml:space="preserve">Resultado </w:t>
            </w:r>
            <w:r w:rsidRPr="00422160">
              <w:rPr>
                <w:rFonts w:ascii="Calibri" w:hAnsi="Calibri" w:cs="Calibri"/>
                <w:b/>
                <w:bCs/>
                <w:spacing w:val="-4"/>
                <w:sz w:val="18"/>
                <w:szCs w:val="18"/>
              </w:rPr>
              <w:t>2020</w:t>
            </w:r>
          </w:p>
        </w:tc>
        <w:tc>
          <w:tcPr>
            <w:tcW w:w="1139" w:type="dxa"/>
            <w:tcBorders>
              <w:top w:val="single" w:sz="4" w:space="0" w:color="000000"/>
              <w:left w:val="single" w:sz="4" w:space="0" w:color="000000"/>
              <w:bottom w:val="single" w:sz="4" w:space="0" w:color="000000"/>
              <w:right w:val="none" w:sz="6" w:space="0" w:color="auto"/>
            </w:tcBorders>
            <w:shd w:val="clear" w:color="auto" w:fill="F1F1F1"/>
          </w:tcPr>
          <w:p w14:paraId="17176B20" w14:textId="77777777" w:rsidR="009E7026" w:rsidRPr="00422160" w:rsidRDefault="009E7026" w:rsidP="00962ADB">
            <w:pPr>
              <w:kinsoku w:val="0"/>
              <w:overflowPunct w:val="0"/>
              <w:autoSpaceDE w:val="0"/>
              <w:autoSpaceDN w:val="0"/>
              <w:adjustRightInd w:val="0"/>
              <w:spacing w:line="240" w:lineRule="atLeast"/>
              <w:ind w:left="404" w:hanging="214"/>
              <w:rPr>
                <w:rFonts w:ascii="Calibri" w:hAnsi="Calibri" w:cs="Calibri"/>
                <w:b/>
                <w:bCs/>
                <w:spacing w:val="-4"/>
                <w:sz w:val="18"/>
                <w:szCs w:val="18"/>
              </w:rPr>
            </w:pPr>
            <w:r w:rsidRPr="00422160">
              <w:rPr>
                <w:rFonts w:ascii="Calibri" w:hAnsi="Calibri" w:cs="Calibri"/>
                <w:b/>
                <w:bCs/>
                <w:spacing w:val="-2"/>
                <w:sz w:val="18"/>
                <w:szCs w:val="18"/>
              </w:rPr>
              <w:t xml:space="preserve">Resultado </w:t>
            </w:r>
            <w:r w:rsidRPr="00422160">
              <w:rPr>
                <w:rFonts w:ascii="Calibri" w:hAnsi="Calibri" w:cs="Calibri"/>
                <w:b/>
                <w:bCs/>
                <w:spacing w:val="-4"/>
                <w:sz w:val="18"/>
                <w:szCs w:val="18"/>
              </w:rPr>
              <w:t>2021</w:t>
            </w:r>
          </w:p>
        </w:tc>
      </w:tr>
      <w:tr w:rsidR="009E7026" w:rsidRPr="00422160" w14:paraId="60302213" w14:textId="77777777" w:rsidTr="00962ADB">
        <w:trPr>
          <w:trHeight w:val="792"/>
        </w:trPr>
        <w:tc>
          <w:tcPr>
            <w:tcW w:w="1583" w:type="dxa"/>
            <w:tcBorders>
              <w:top w:val="single" w:sz="4" w:space="0" w:color="000000"/>
              <w:left w:val="none" w:sz="6" w:space="0" w:color="auto"/>
              <w:bottom w:val="single" w:sz="4" w:space="0" w:color="000000"/>
              <w:right w:val="single" w:sz="4" w:space="0" w:color="000000"/>
            </w:tcBorders>
          </w:tcPr>
          <w:p w14:paraId="4C11E150" w14:textId="77777777" w:rsidR="009E7026" w:rsidRPr="00422160" w:rsidRDefault="009E7026" w:rsidP="00962ADB">
            <w:pPr>
              <w:kinsoku w:val="0"/>
              <w:overflowPunct w:val="0"/>
              <w:autoSpaceDE w:val="0"/>
              <w:autoSpaceDN w:val="0"/>
              <w:adjustRightInd w:val="0"/>
              <w:spacing w:before="126"/>
              <w:ind w:left="108" w:right="273"/>
              <w:rPr>
                <w:rFonts w:ascii="Calibri" w:hAnsi="Calibri" w:cs="Calibri"/>
                <w:sz w:val="18"/>
                <w:szCs w:val="18"/>
              </w:rPr>
            </w:pPr>
            <w:r w:rsidRPr="00422160">
              <w:rPr>
                <w:rFonts w:ascii="Calibri" w:hAnsi="Calibri" w:cs="Calibri"/>
                <w:spacing w:val="-2"/>
                <w:sz w:val="18"/>
                <w:szCs w:val="18"/>
              </w:rPr>
              <w:t xml:space="preserve">Universalização </w:t>
            </w:r>
            <w:r w:rsidRPr="00422160">
              <w:rPr>
                <w:rFonts w:ascii="Calibri" w:hAnsi="Calibri" w:cs="Calibri"/>
                <w:sz w:val="18"/>
                <w:szCs w:val="18"/>
              </w:rPr>
              <w:t>do</w:t>
            </w:r>
            <w:r w:rsidRPr="00422160">
              <w:rPr>
                <w:rFonts w:ascii="Calibri" w:hAnsi="Calibri" w:cs="Calibri"/>
                <w:spacing w:val="-12"/>
                <w:sz w:val="18"/>
                <w:szCs w:val="18"/>
              </w:rPr>
              <w:t xml:space="preserve"> </w:t>
            </w:r>
            <w:r w:rsidRPr="00422160">
              <w:rPr>
                <w:rFonts w:ascii="Calibri" w:hAnsi="Calibri" w:cs="Calibri"/>
                <w:sz w:val="18"/>
                <w:szCs w:val="18"/>
              </w:rPr>
              <w:t>atendimento</w:t>
            </w:r>
          </w:p>
        </w:tc>
        <w:tc>
          <w:tcPr>
            <w:tcW w:w="1141" w:type="dxa"/>
            <w:tcBorders>
              <w:top w:val="single" w:sz="4" w:space="0" w:color="000000"/>
              <w:left w:val="single" w:sz="4" w:space="0" w:color="000000"/>
              <w:bottom w:val="single" w:sz="4" w:space="0" w:color="000000"/>
              <w:right w:val="single" w:sz="4" w:space="0" w:color="000000"/>
            </w:tcBorders>
          </w:tcPr>
          <w:p w14:paraId="64FD8FDA" w14:textId="77777777" w:rsidR="009E7026" w:rsidRPr="00422160" w:rsidRDefault="009E7026" w:rsidP="00962ADB">
            <w:pPr>
              <w:kinsoku w:val="0"/>
              <w:overflowPunct w:val="0"/>
              <w:autoSpaceDE w:val="0"/>
              <w:autoSpaceDN w:val="0"/>
              <w:adjustRightInd w:val="0"/>
              <w:spacing w:before="7"/>
              <w:rPr>
                <w:rFonts w:ascii="Times New Roman" w:hAnsi="Times New Roman" w:cs="Times New Roman"/>
                <w:sz w:val="18"/>
                <w:szCs w:val="18"/>
              </w:rPr>
            </w:pPr>
          </w:p>
          <w:p w14:paraId="6E849D92" w14:textId="77777777" w:rsidR="009E7026" w:rsidRPr="00422160" w:rsidRDefault="009E7026" w:rsidP="00962ADB">
            <w:pPr>
              <w:kinsoku w:val="0"/>
              <w:overflowPunct w:val="0"/>
              <w:autoSpaceDE w:val="0"/>
              <w:autoSpaceDN w:val="0"/>
              <w:adjustRightInd w:val="0"/>
              <w:ind w:left="294" w:right="297"/>
              <w:jc w:val="center"/>
              <w:rPr>
                <w:rFonts w:ascii="Calibri" w:hAnsi="Calibri" w:cs="Calibri"/>
                <w:spacing w:val="-2"/>
                <w:sz w:val="18"/>
                <w:szCs w:val="18"/>
              </w:rPr>
            </w:pPr>
            <w:r w:rsidRPr="00422160">
              <w:rPr>
                <w:rFonts w:ascii="Calibri" w:hAnsi="Calibri" w:cs="Calibri"/>
                <w:spacing w:val="-2"/>
                <w:sz w:val="18"/>
                <w:szCs w:val="18"/>
              </w:rPr>
              <w:t>99,50%</w:t>
            </w:r>
          </w:p>
        </w:tc>
        <w:tc>
          <w:tcPr>
            <w:tcW w:w="1139" w:type="dxa"/>
            <w:tcBorders>
              <w:top w:val="single" w:sz="4" w:space="0" w:color="000000"/>
              <w:left w:val="single" w:sz="4" w:space="0" w:color="000000"/>
              <w:bottom w:val="single" w:sz="4" w:space="0" w:color="000000"/>
              <w:right w:val="single" w:sz="4" w:space="0" w:color="000000"/>
            </w:tcBorders>
          </w:tcPr>
          <w:p w14:paraId="709DE225" w14:textId="77777777" w:rsidR="009E7026" w:rsidRPr="00422160" w:rsidRDefault="009E7026" w:rsidP="00962ADB">
            <w:pPr>
              <w:kinsoku w:val="0"/>
              <w:overflowPunct w:val="0"/>
              <w:autoSpaceDE w:val="0"/>
              <w:autoSpaceDN w:val="0"/>
              <w:adjustRightInd w:val="0"/>
              <w:spacing w:before="7"/>
              <w:rPr>
                <w:rFonts w:ascii="Times New Roman" w:hAnsi="Times New Roman" w:cs="Times New Roman"/>
                <w:sz w:val="18"/>
                <w:szCs w:val="18"/>
              </w:rPr>
            </w:pPr>
          </w:p>
          <w:p w14:paraId="73F9AC3C" w14:textId="77777777" w:rsidR="009E7026" w:rsidRPr="00422160" w:rsidRDefault="009E7026" w:rsidP="00962ADB">
            <w:pPr>
              <w:kinsoku w:val="0"/>
              <w:overflowPunct w:val="0"/>
              <w:autoSpaceDE w:val="0"/>
              <w:autoSpaceDN w:val="0"/>
              <w:adjustRightInd w:val="0"/>
              <w:ind w:left="290" w:right="296"/>
              <w:jc w:val="center"/>
              <w:rPr>
                <w:rFonts w:ascii="Calibri" w:hAnsi="Calibri" w:cs="Calibri"/>
                <w:spacing w:val="-2"/>
                <w:sz w:val="18"/>
                <w:szCs w:val="18"/>
              </w:rPr>
            </w:pPr>
            <w:r w:rsidRPr="00422160">
              <w:rPr>
                <w:rFonts w:ascii="Calibri" w:hAnsi="Calibri" w:cs="Calibri"/>
                <w:spacing w:val="-2"/>
                <w:sz w:val="18"/>
                <w:szCs w:val="18"/>
              </w:rPr>
              <w:t>89,91%</w:t>
            </w:r>
          </w:p>
        </w:tc>
        <w:tc>
          <w:tcPr>
            <w:tcW w:w="1141" w:type="dxa"/>
            <w:tcBorders>
              <w:top w:val="single" w:sz="4" w:space="0" w:color="000000"/>
              <w:left w:val="single" w:sz="4" w:space="0" w:color="000000"/>
              <w:bottom w:val="single" w:sz="4" w:space="0" w:color="000000"/>
              <w:right w:val="single" w:sz="4" w:space="0" w:color="000000"/>
            </w:tcBorders>
          </w:tcPr>
          <w:p w14:paraId="4C51714F" w14:textId="77777777" w:rsidR="009E7026" w:rsidRPr="00422160" w:rsidRDefault="009E7026" w:rsidP="00962ADB">
            <w:pPr>
              <w:kinsoku w:val="0"/>
              <w:overflowPunct w:val="0"/>
              <w:autoSpaceDE w:val="0"/>
              <w:autoSpaceDN w:val="0"/>
              <w:adjustRightInd w:val="0"/>
              <w:spacing w:before="7"/>
              <w:rPr>
                <w:rFonts w:ascii="Times New Roman" w:hAnsi="Times New Roman" w:cs="Times New Roman"/>
                <w:sz w:val="18"/>
                <w:szCs w:val="18"/>
              </w:rPr>
            </w:pPr>
          </w:p>
          <w:p w14:paraId="6B74B2BF" w14:textId="77777777" w:rsidR="009E7026" w:rsidRPr="00422160" w:rsidRDefault="009E7026" w:rsidP="00962ADB">
            <w:pPr>
              <w:kinsoku w:val="0"/>
              <w:overflowPunct w:val="0"/>
              <w:autoSpaceDE w:val="0"/>
              <w:autoSpaceDN w:val="0"/>
              <w:adjustRightInd w:val="0"/>
              <w:ind w:left="294" w:right="297"/>
              <w:jc w:val="center"/>
              <w:rPr>
                <w:rFonts w:ascii="Calibri" w:hAnsi="Calibri" w:cs="Calibri"/>
                <w:spacing w:val="-2"/>
                <w:sz w:val="18"/>
                <w:szCs w:val="18"/>
              </w:rPr>
            </w:pPr>
            <w:r w:rsidRPr="00422160">
              <w:rPr>
                <w:rFonts w:ascii="Calibri" w:hAnsi="Calibri" w:cs="Calibri"/>
                <w:spacing w:val="-2"/>
                <w:sz w:val="18"/>
                <w:szCs w:val="18"/>
              </w:rPr>
              <w:t>88,83%</w:t>
            </w:r>
          </w:p>
        </w:tc>
        <w:tc>
          <w:tcPr>
            <w:tcW w:w="1139" w:type="dxa"/>
            <w:tcBorders>
              <w:top w:val="single" w:sz="4" w:space="0" w:color="000000"/>
              <w:left w:val="single" w:sz="4" w:space="0" w:color="000000"/>
              <w:bottom w:val="single" w:sz="4" w:space="0" w:color="000000"/>
              <w:right w:val="single" w:sz="4" w:space="0" w:color="000000"/>
            </w:tcBorders>
          </w:tcPr>
          <w:p w14:paraId="76FA3B6D" w14:textId="77777777" w:rsidR="009E7026" w:rsidRPr="00422160" w:rsidRDefault="009E7026" w:rsidP="00962ADB">
            <w:pPr>
              <w:kinsoku w:val="0"/>
              <w:overflowPunct w:val="0"/>
              <w:autoSpaceDE w:val="0"/>
              <w:autoSpaceDN w:val="0"/>
              <w:adjustRightInd w:val="0"/>
              <w:spacing w:before="7"/>
              <w:rPr>
                <w:rFonts w:ascii="Times New Roman" w:hAnsi="Times New Roman" w:cs="Times New Roman"/>
                <w:sz w:val="18"/>
                <w:szCs w:val="18"/>
              </w:rPr>
            </w:pPr>
          </w:p>
          <w:p w14:paraId="78C6B01E" w14:textId="77777777" w:rsidR="009E7026" w:rsidRPr="00422160" w:rsidRDefault="009E7026" w:rsidP="00962ADB">
            <w:pPr>
              <w:kinsoku w:val="0"/>
              <w:overflowPunct w:val="0"/>
              <w:autoSpaceDE w:val="0"/>
              <w:autoSpaceDN w:val="0"/>
              <w:adjustRightInd w:val="0"/>
              <w:ind w:left="292" w:right="294"/>
              <w:jc w:val="center"/>
              <w:rPr>
                <w:rFonts w:ascii="Calibri" w:hAnsi="Calibri" w:cs="Calibri"/>
                <w:spacing w:val="-2"/>
                <w:sz w:val="18"/>
                <w:szCs w:val="18"/>
              </w:rPr>
            </w:pPr>
            <w:r w:rsidRPr="00422160">
              <w:rPr>
                <w:rFonts w:ascii="Calibri" w:hAnsi="Calibri" w:cs="Calibri"/>
                <w:spacing w:val="-2"/>
                <w:sz w:val="18"/>
                <w:szCs w:val="18"/>
              </w:rPr>
              <w:t>99,23%</w:t>
            </w:r>
          </w:p>
        </w:tc>
        <w:tc>
          <w:tcPr>
            <w:tcW w:w="1141" w:type="dxa"/>
            <w:tcBorders>
              <w:top w:val="single" w:sz="4" w:space="0" w:color="000000"/>
              <w:left w:val="single" w:sz="4" w:space="0" w:color="000000"/>
              <w:bottom w:val="single" w:sz="4" w:space="0" w:color="000000"/>
              <w:right w:val="single" w:sz="4" w:space="0" w:color="000000"/>
            </w:tcBorders>
          </w:tcPr>
          <w:p w14:paraId="795F61E9" w14:textId="77777777" w:rsidR="009E7026" w:rsidRPr="00422160" w:rsidRDefault="009E7026" w:rsidP="00962ADB">
            <w:pPr>
              <w:kinsoku w:val="0"/>
              <w:overflowPunct w:val="0"/>
              <w:autoSpaceDE w:val="0"/>
              <w:autoSpaceDN w:val="0"/>
              <w:adjustRightInd w:val="0"/>
              <w:spacing w:before="7"/>
              <w:rPr>
                <w:rFonts w:ascii="Times New Roman" w:hAnsi="Times New Roman" w:cs="Times New Roman"/>
                <w:sz w:val="18"/>
                <w:szCs w:val="18"/>
              </w:rPr>
            </w:pPr>
          </w:p>
          <w:p w14:paraId="5B3C20F4" w14:textId="77777777" w:rsidR="009E7026" w:rsidRPr="00422160" w:rsidRDefault="009E7026" w:rsidP="00962ADB">
            <w:pPr>
              <w:kinsoku w:val="0"/>
              <w:overflowPunct w:val="0"/>
              <w:autoSpaceDE w:val="0"/>
              <w:autoSpaceDN w:val="0"/>
              <w:adjustRightInd w:val="0"/>
              <w:ind w:left="293" w:right="297"/>
              <w:jc w:val="center"/>
              <w:rPr>
                <w:rFonts w:ascii="Calibri" w:hAnsi="Calibri" w:cs="Calibri"/>
                <w:spacing w:val="-2"/>
                <w:sz w:val="18"/>
                <w:szCs w:val="18"/>
              </w:rPr>
            </w:pPr>
            <w:r w:rsidRPr="00422160">
              <w:rPr>
                <w:rFonts w:ascii="Calibri" w:hAnsi="Calibri" w:cs="Calibri"/>
                <w:spacing w:val="-2"/>
                <w:sz w:val="18"/>
                <w:szCs w:val="18"/>
              </w:rPr>
              <w:t>97,46%</w:t>
            </w:r>
          </w:p>
        </w:tc>
        <w:tc>
          <w:tcPr>
            <w:tcW w:w="1139" w:type="dxa"/>
            <w:tcBorders>
              <w:top w:val="single" w:sz="4" w:space="0" w:color="000000"/>
              <w:left w:val="single" w:sz="4" w:space="0" w:color="000000"/>
              <w:bottom w:val="single" w:sz="4" w:space="0" w:color="000000"/>
              <w:right w:val="none" w:sz="6" w:space="0" w:color="auto"/>
            </w:tcBorders>
          </w:tcPr>
          <w:p w14:paraId="2CC90D7A" w14:textId="77777777" w:rsidR="009E7026" w:rsidRPr="00422160" w:rsidRDefault="009E7026" w:rsidP="00962ADB">
            <w:pPr>
              <w:kinsoku w:val="0"/>
              <w:overflowPunct w:val="0"/>
              <w:autoSpaceDE w:val="0"/>
              <w:autoSpaceDN w:val="0"/>
              <w:adjustRightInd w:val="0"/>
              <w:spacing w:before="2"/>
              <w:rPr>
                <w:rFonts w:ascii="Times New Roman" w:hAnsi="Times New Roman" w:cs="Times New Roman"/>
                <w:sz w:val="18"/>
                <w:szCs w:val="18"/>
              </w:rPr>
            </w:pPr>
          </w:p>
          <w:p w14:paraId="3816DD2F" w14:textId="77777777" w:rsidR="009E7026" w:rsidRPr="00422160" w:rsidRDefault="009E7026" w:rsidP="00962ADB">
            <w:pPr>
              <w:kinsoku w:val="0"/>
              <w:overflowPunct w:val="0"/>
              <w:autoSpaceDE w:val="0"/>
              <w:autoSpaceDN w:val="0"/>
              <w:adjustRightInd w:val="0"/>
              <w:ind w:left="294" w:right="300"/>
              <w:jc w:val="center"/>
              <w:rPr>
                <w:rFonts w:ascii="Calibri" w:hAnsi="Calibri" w:cs="Calibri"/>
                <w:spacing w:val="-2"/>
                <w:sz w:val="18"/>
                <w:szCs w:val="18"/>
              </w:rPr>
            </w:pPr>
            <w:r w:rsidRPr="00422160">
              <w:rPr>
                <w:rFonts w:ascii="Calibri" w:hAnsi="Calibri" w:cs="Calibri"/>
                <w:spacing w:val="-2"/>
                <w:sz w:val="18"/>
                <w:szCs w:val="18"/>
              </w:rPr>
              <w:t>97,</w:t>
            </w:r>
            <w:r>
              <w:rPr>
                <w:rFonts w:ascii="Calibri" w:hAnsi="Calibri" w:cs="Calibri"/>
                <w:spacing w:val="-2"/>
                <w:sz w:val="18"/>
                <w:szCs w:val="18"/>
              </w:rPr>
              <w:t>88</w:t>
            </w:r>
            <w:r w:rsidRPr="00422160">
              <w:rPr>
                <w:rFonts w:ascii="Calibri" w:hAnsi="Calibri" w:cs="Calibri"/>
                <w:spacing w:val="-2"/>
                <w:sz w:val="18"/>
                <w:szCs w:val="18"/>
              </w:rPr>
              <w:t>%</w:t>
            </w:r>
          </w:p>
        </w:tc>
      </w:tr>
      <w:tr w:rsidR="009E7026" w:rsidRPr="00422160" w14:paraId="434ECF5D" w14:textId="77777777" w:rsidTr="00962ADB">
        <w:trPr>
          <w:trHeight w:val="836"/>
        </w:trPr>
        <w:tc>
          <w:tcPr>
            <w:tcW w:w="1583" w:type="dxa"/>
            <w:tcBorders>
              <w:top w:val="single" w:sz="4" w:space="0" w:color="000000"/>
              <w:left w:val="none" w:sz="6" w:space="0" w:color="auto"/>
              <w:bottom w:val="single" w:sz="4" w:space="0" w:color="000000"/>
              <w:right w:val="single" w:sz="4" w:space="0" w:color="000000"/>
            </w:tcBorders>
          </w:tcPr>
          <w:p w14:paraId="3198101D" w14:textId="77777777" w:rsidR="009E7026" w:rsidRPr="00422160" w:rsidRDefault="009E7026" w:rsidP="00962ADB">
            <w:pPr>
              <w:kinsoku w:val="0"/>
              <w:overflowPunct w:val="0"/>
              <w:autoSpaceDE w:val="0"/>
              <w:autoSpaceDN w:val="0"/>
              <w:adjustRightInd w:val="0"/>
              <w:spacing w:before="147"/>
              <w:ind w:left="108" w:right="273"/>
              <w:rPr>
                <w:rFonts w:ascii="Calibri" w:hAnsi="Calibri" w:cs="Calibri"/>
                <w:sz w:val="18"/>
                <w:szCs w:val="18"/>
              </w:rPr>
            </w:pPr>
            <w:r w:rsidRPr="00422160">
              <w:rPr>
                <w:rFonts w:ascii="Calibri" w:hAnsi="Calibri" w:cs="Calibri"/>
                <w:spacing w:val="-2"/>
                <w:sz w:val="18"/>
                <w:szCs w:val="18"/>
              </w:rPr>
              <w:t xml:space="preserve">Universalização </w:t>
            </w:r>
            <w:r w:rsidRPr="00422160">
              <w:rPr>
                <w:rFonts w:ascii="Calibri" w:hAnsi="Calibri" w:cs="Calibri"/>
                <w:sz w:val="18"/>
                <w:szCs w:val="18"/>
              </w:rPr>
              <w:t>da distribuição</w:t>
            </w:r>
          </w:p>
        </w:tc>
        <w:tc>
          <w:tcPr>
            <w:tcW w:w="1141" w:type="dxa"/>
            <w:tcBorders>
              <w:top w:val="single" w:sz="4" w:space="0" w:color="000000"/>
              <w:left w:val="single" w:sz="4" w:space="0" w:color="000000"/>
              <w:bottom w:val="single" w:sz="4" w:space="0" w:color="000000"/>
              <w:right w:val="single" w:sz="4" w:space="0" w:color="000000"/>
            </w:tcBorders>
          </w:tcPr>
          <w:p w14:paraId="31AF00E0" w14:textId="77777777" w:rsidR="009E7026" w:rsidRPr="00422160" w:rsidRDefault="009E7026" w:rsidP="00962ADB">
            <w:pPr>
              <w:kinsoku w:val="0"/>
              <w:overflowPunct w:val="0"/>
              <w:autoSpaceDE w:val="0"/>
              <w:autoSpaceDN w:val="0"/>
              <w:adjustRightInd w:val="0"/>
              <w:spacing w:before="5"/>
              <w:rPr>
                <w:rFonts w:ascii="Times New Roman" w:hAnsi="Times New Roman" w:cs="Times New Roman"/>
                <w:sz w:val="18"/>
                <w:szCs w:val="18"/>
              </w:rPr>
            </w:pPr>
          </w:p>
          <w:p w14:paraId="21C17123" w14:textId="77777777" w:rsidR="009E7026" w:rsidRPr="00422160" w:rsidRDefault="009E7026" w:rsidP="00962ADB">
            <w:pPr>
              <w:kinsoku w:val="0"/>
              <w:overflowPunct w:val="0"/>
              <w:autoSpaceDE w:val="0"/>
              <w:autoSpaceDN w:val="0"/>
              <w:adjustRightInd w:val="0"/>
              <w:ind w:left="294" w:right="297"/>
              <w:jc w:val="center"/>
              <w:rPr>
                <w:rFonts w:ascii="Calibri" w:hAnsi="Calibri" w:cs="Calibri"/>
                <w:spacing w:val="-2"/>
                <w:sz w:val="18"/>
                <w:szCs w:val="18"/>
              </w:rPr>
            </w:pPr>
            <w:r w:rsidRPr="00422160">
              <w:rPr>
                <w:rFonts w:ascii="Calibri" w:hAnsi="Calibri" w:cs="Calibri"/>
                <w:spacing w:val="-2"/>
                <w:sz w:val="18"/>
                <w:szCs w:val="18"/>
              </w:rPr>
              <w:t>85,90%</w:t>
            </w:r>
          </w:p>
        </w:tc>
        <w:tc>
          <w:tcPr>
            <w:tcW w:w="1139" w:type="dxa"/>
            <w:tcBorders>
              <w:top w:val="single" w:sz="4" w:space="0" w:color="000000"/>
              <w:left w:val="single" w:sz="4" w:space="0" w:color="000000"/>
              <w:bottom w:val="single" w:sz="4" w:space="0" w:color="000000"/>
              <w:right w:val="single" w:sz="4" w:space="0" w:color="000000"/>
            </w:tcBorders>
          </w:tcPr>
          <w:p w14:paraId="151E0470" w14:textId="77777777" w:rsidR="009E7026" w:rsidRPr="00422160" w:rsidRDefault="009E7026" w:rsidP="00962ADB">
            <w:pPr>
              <w:kinsoku w:val="0"/>
              <w:overflowPunct w:val="0"/>
              <w:autoSpaceDE w:val="0"/>
              <w:autoSpaceDN w:val="0"/>
              <w:adjustRightInd w:val="0"/>
              <w:spacing w:before="5"/>
              <w:rPr>
                <w:rFonts w:ascii="Times New Roman" w:hAnsi="Times New Roman" w:cs="Times New Roman"/>
                <w:sz w:val="18"/>
                <w:szCs w:val="18"/>
              </w:rPr>
            </w:pPr>
          </w:p>
          <w:p w14:paraId="3B9D036C" w14:textId="77777777" w:rsidR="009E7026" w:rsidRPr="00422160" w:rsidRDefault="009E7026" w:rsidP="00962ADB">
            <w:pPr>
              <w:kinsoku w:val="0"/>
              <w:overflowPunct w:val="0"/>
              <w:autoSpaceDE w:val="0"/>
              <w:autoSpaceDN w:val="0"/>
              <w:adjustRightInd w:val="0"/>
              <w:ind w:left="290" w:right="296"/>
              <w:jc w:val="center"/>
              <w:rPr>
                <w:rFonts w:ascii="Calibri" w:hAnsi="Calibri" w:cs="Calibri"/>
                <w:spacing w:val="-2"/>
                <w:sz w:val="18"/>
                <w:szCs w:val="18"/>
              </w:rPr>
            </w:pPr>
            <w:r w:rsidRPr="00422160">
              <w:rPr>
                <w:rFonts w:ascii="Calibri" w:hAnsi="Calibri" w:cs="Calibri"/>
                <w:spacing w:val="-2"/>
                <w:sz w:val="18"/>
                <w:szCs w:val="18"/>
              </w:rPr>
              <w:t>89,58%</w:t>
            </w:r>
          </w:p>
        </w:tc>
        <w:tc>
          <w:tcPr>
            <w:tcW w:w="1141" w:type="dxa"/>
            <w:tcBorders>
              <w:top w:val="single" w:sz="4" w:space="0" w:color="000000"/>
              <w:left w:val="single" w:sz="4" w:space="0" w:color="000000"/>
              <w:bottom w:val="single" w:sz="4" w:space="0" w:color="000000"/>
              <w:right w:val="single" w:sz="4" w:space="0" w:color="000000"/>
            </w:tcBorders>
          </w:tcPr>
          <w:p w14:paraId="11990BB2" w14:textId="77777777" w:rsidR="009E7026" w:rsidRPr="00422160" w:rsidRDefault="009E7026" w:rsidP="00962ADB">
            <w:pPr>
              <w:kinsoku w:val="0"/>
              <w:overflowPunct w:val="0"/>
              <w:autoSpaceDE w:val="0"/>
              <w:autoSpaceDN w:val="0"/>
              <w:adjustRightInd w:val="0"/>
              <w:spacing w:before="5"/>
              <w:rPr>
                <w:rFonts w:ascii="Times New Roman" w:hAnsi="Times New Roman" w:cs="Times New Roman"/>
                <w:sz w:val="18"/>
                <w:szCs w:val="18"/>
              </w:rPr>
            </w:pPr>
          </w:p>
          <w:p w14:paraId="37626DC0" w14:textId="77777777" w:rsidR="009E7026" w:rsidRPr="00422160" w:rsidRDefault="009E7026" w:rsidP="00962ADB">
            <w:pPr>
              <w:kinsoku w:val="0"/>
              <w:overflowPunct w:val="0"/>
              <w:autoSpaceDE w:val="0"/>
              <w:autoSpaceDN w:val="0"/>
              <w:adjustRightInd w:val="0"/>
              <w:ind w:left="294" w:right="297"/>
              <w:jc w:val="center"/>
              <w:rPr>
                <w:rFonts w:ascii="Calibri" w:hAnsi="Calibri" w:cs="Calibri"/>
                <w:spacing w:val="-2"/>
                <w:sz w:val="18"/>
                <w:szCs w:val="18"/>
              </w:rPr>
            </w:pPr>
            <w:r w:rsidRPr="00422160">
              <w:rPr>
                <w:rFonts w:ascii="Calibri" w:hAnsi="Calibri" w:cs="Calibri"/>
                <w:spacing w:val="-2"/>
                <w:sz w:val="18"/>
                <w:szCs w:val="18"/>
              </w:rPr>
              <w:t>91,33%</w:t>
            </w:r>
          </w:p>
        </w:tc>
        <w:tc>
          <w:tcPr>
            <w:tcW w:w="1139" w:type="dxa"/>
            <w:tcBorders>
              <w:top w:val="single" w:sz="4" w:space="0" w:color="000000"/>
              <w:left w:val="single" w:sz="4" w:space="0" w:color="000000"/>
              <w:bottom w:val="single" w:sz="4" w:space="0" w:color="000000"/>
              <w:right w:val="single" w:sz="4" w:space="0" w:color="000000"/>
            </w:tcBorders>
          </w:tcPr>
          <w:p w14:paraId="56194088" w14:textId="77777777" w:rsidR="009E7026" w:rsidRPr="00422160" w:rsidRDefault="009E7026" w:rsidP="00962ADB">
            <w:pPr>
              <w:kinsoku w:val="0"/>
              <w:overflowPunct w:val="0"/>
              <w:autoSpaceDE w:val="0"/>
              <w:autoSpaceDN w:val="0"/>
              <w:adjustRightInd w:val="0"/>
              <w:spacing w:before="5"/>
              <w:rPr>
                <w:rFonts w:ascii="Times New Roman" w:hAnsi="Times New Roman" w:cs="Times New Roman"/>
                <w:sz w:val="18"/>
                <w:szCs w:val="18"/>
              </w:rPr>
            </w:pPr>
          </w:p>
          <w:p w14:paraId="21CD7CD2" w14:textId="77777777" w:rsidR="009E7026" w:rsidRPr="00422160" w:rsidRDefault="009E7026" w:rsidP="00962ADB">
            <w:pPr>
              <w:kinsoku w:val="0"/>
              <w:overflowPunct w:val="0"/>
              <w:autoSpaceDE w:val="0"/>
              <w:autoSpaceDN w:val="0"/>
              <w:adjustRightInd w:val="0"/>
              <w:ind w:left="292" w:right="294"/>
              <w:jc w:val="center"/>
              <w:rPr>
                <w:rFonts w:ascii="Calibri" w:hAnsi="Calibri" w:cs="Calibri"/>
                <w:spacing w:val="-2"/>
                <w:sz w:val="18"/>
                <w:szCs w:val="18"/>
              </w:rPr>
            </w:pPr>
            <w:r w:rsidRPr="00422160">
              <w:rPr>
                <w:rFonts w:ascii="Calibri" w:hAnsi="Calibri" w:cs="Calibri"/>
                <w:spacing w:val="-2"/>
                <w:sz w:val="18"/>
                <w:szCs w:val="18"/>
              </w:rPr>
              <w:t>91,25%</w:t>
            </w:r>
          </w:p>
        </w:tc>
        <w:tc>
          <w:tcPr>
            <w:tcW w:w="1141" w:type="dxa"/>
            <w:tcBorders>
              <w:top w:val="single" w:sz="4" w:space="0" w:color="000000"/>
              <w:left w:val="single" w:sz="4" w:space="0" w:color="000000"/>
              <w:bottom w:val="single" w:sz="4" w:space="0" w:color="000000"/>
              <w:right w:val="single" w:sz="4" w:space="0" w:color="000000"/>
            </w:tcBorders>
          </w:tcPr>
          <w:p w14:paraId="633A4ED7" w14:textId="77777777" w:rsidR="009E7026" w:rsidRPr="00422160" w:rsidRDefault="009E7026" w:rsidP="00962ADB">
            <w:pPr>
              <w:kinsoku w:val="0"/>
              <w:overflowPunct w:val="0"/>
              <w:autoSpaceDE w:val="0"/>
              <w:autoSpaceDN w:val="0"/>
              <w:adjustRightInd w:val="0"/>
              <w:spacing w:before="5"/>
              <w:rPr>
                <w:rFonts w:ascii="Times New Roman" w:hAnsi="Times New Roman" w:cs="Times New Roman"/>
                <w:sz w:val="18"/>
                <w:szCs w:val="18"/>
              </w:rPr>
            </w:pPr>
          </w:p>
          <w:p w14:paraId="4EEF840B" w14:textId="77777777" w:rsidR="009E7026" w:rsidRPr="00422160" w:rsidRDefault="009E7026" w:rsidP="00962ADB">
            <w:pPr>
              <w:kinsoku w:val="0"/>
              <w:overflowPunct w:val="0"/>
              <w:autoSpaceDE w:val="0"/>
              <w:autoSpaceDN w:val="0"/>
              <w:adjustRightInd w:val="0"/>
              <w:ind w:left="293" w:right="297"/>
              <w:jc w:val="center"/>
              <w:rPr>
                <w:rFonts w:ascii="Calibri" w:hAnsi="Calibri" w:cs="Calibri"/>
                <w:spacing w:val="-2"/>
                <w:sz w:val="18"/>
                <w:szCs w:val="18"/>
              </w:rPr>
            </w:pPr>
            <w:r w:rsidRPr="00422160">
              <w:rPr>
                <w:rFonts w:ascii="Calibri" w:hAnsi="Calibri" w:cs="Calibri"/>
                <w:spacing w:val="-2"/>
                <w:sz w:val="18"/>
                <w:szCs w:val="18"/>
              </w:rPr>
              <w:t>89,20%</w:t>
            </w:r>
          </w:p>
        </w:tc>
        <w:tc>
          <w:tcPr>
            <w:tcW w:w="1139" w:type="dxa"/>
            <w:tcBorders>
              <w:top w:val="single" w:sz="4" w:space="0" w:color="000000"/>
              <w:left w:val="single" w:sz="4" w:space="0" w:color="000000"/>
              <w:bottom w:val="single" w:sz="4" w:space="0" w:color="000000"/>
              <w:right w:val="none" w:sz="6" w:space="0" w:color="auto"/>
            </w:tcBorders>
          </w:tcPr>
          <w:p w14:paraId="55A97016" w14:textId="77777777" w:rsidR="009E7026" w:rsidRPr="00422160" w:rsidRDefault="009E7026" w:rsidP="00962ADB">
            <w:pPr>
              <w:kinsoku w:val="0"/>
              <w:overflowPunct w:val="0"/>
              <w:autoSpaceDE w:val="0"/>
              <w:autoSpaceDN w:val="0"/>
              <w:adjustRightInd w:val="0"/>
              <w:spacing w:before="2"/>
              <w:rPr>
                <w:rFonts w:ascii="Times New Roman" w:hAnsi="Times New Roman" w:cs="Times New Roman"/>
                <w:sz w:val="18"/>
                <w:szCs w:val="18"/>
              </w:rPr>
            </w:pPr>
          </w:p>
          <w:p w14:paraId="603DF0E1" w14:textId="77777777" w:rsidR="009E7026" w:rsidRPr="00422160" w:rsidRDefault="009E7026" w:rsidP="00D47644">
            <w:pPr>
              <w:keepNext/>
              <w:kinsoku w:val="0"/>
              <w:overflowPunct w:val="0"/>
              <w:autoSpaceDE w:val="0"/>
              <w:autoSpaceDN w:val="0"/>
              <w:adjustRightInd w:val="0"/>
              <w:ind w:left="294" w:right="300"/>
              <w:jc w:val="center"/>
              <w:rPr>
                <w:rFonts w:ascii="Calibri" w:hAnsi="Calibri" w:cs="Calibri"/>
                <w:spacing w:val="-2"/>
                <w:sz w:val="18"/>
                <w:szCs w:val="18"/>
              </w:rPr>
            </w:pPr>
            <w:r w:rsidRPr="00422160">
              <w:rPr>
                <w:rFonts w:ascii="Calibri" w:hAnsi="Calibri" w:cs="Calibri"/>
                <w:spacing w:val="-2"/>
                <w:sz w:val="18"/>
                <w:szCs w:val="18"/>
              </w:rPr>
              <w:t>92,</w:t>
            </w:r>
            <w:r>
              <w:rPr>
                <w:rFonts w:ascii="Calibri" w:hAnsi="Calibri" w:cs="Calibri"/>
                <w:spacing w:val="-2"/>
                <w:sz w:val="18"/>
                <w:szCs w:val="18"/>
              </w:rPr>
              <w:t>57</w:t>
            </w:r>
            <w:r w:rsidRPr="00422160">
              <w:rPr>
                <w:rFonts w:ascii="Calibri" w:hAnsi="Calibri" w:cs="Calibri"/>
                <w:spacing w:val="-2"/>
                <w:sz w:val="18"/>
                <w:szCs w:val="18"/>
              </w:rPr>
              <w:t>%</w:t>
            </w:r>
          </w:p>
        </w:tc>
      </w:tr>
    </w:tbl>
    <w:p w14:paraId="2BB4892C" w14:textId="1BCB4259" w:rsidR="00897156" w:rsidRPr="00D47644" w:rsidRDefault="00D47644" w:rsidP="00D47644">
      <w:pPr>
        <w:pStyle w:val="Legenda"/>
        <w:rPr>
          <w:b w:val="0"/>
        </w:rPr>
      </w:pPr>
      <w:r>
        <w:rPr>
          <w:b w:val="0"/>
        </w:rPr>
        <w:t>Fonte: Relatórios de Gestão dos Correios</w:t>
      </w:r>
    </w:p>
    <w:p w14:paraId="09C848CE" w14:textId="77777777" w:rsidR="009E7026" w:rsidRDefault="009E7026" w:rsidP="00897156">
      <w:pPr>
        <w:spacing w:line="360" w:lineRule="auto"/>
        <w:jc w:val="both"/>
        <w:rPr>
          <w:rFonts w:ascii="Times New Roman" w:hAnsi="Times New Roman" w:cs="Times New Roman"/>
        </w:rPr>
      </w:pPr>
    </w:p>
    <w:p w14:paraId="10124A4E" w14:textId="2B4D2C36" w:rsidR="009F6F7F" w:rsidRPr="009F6F7F" w:rsidRDefault="009F6F7F" w:rsidP="009F6F7F">
      <w:pPr>
        <w:spacing w:line="360" w:lineRule="auto"/>
        <w:jc w:val="both"/>
        <w:rPr>
          <w:rFonts w:ascii="Times New Roman" w:hAnsi="Times New Roman" w:cs="Times New Roman"/>
        </w:rPr>
      </w:pPr>
      <w:r w:rsidRPr="009F6F7F">
        <w:rPr>
          <w:rFonts w:ascii="Times New Roman" w:hAnsi="Times New Roman" w:cs="Times New Roman"/>
        </w:rPr>
        <w:t xml:space="preserve">As metas são recalculadas, anualmente, de forma a garantir a oferta de 100% das posições de atendimento ao final do quarto ano. O indicador obteve em 2021 o resultado de 97,88%, sendo ofertadas 9.262 posições de atendimento, em 5.556 municípios, das 9.463 estabelecidas para o ano. Este resultado representa a oferta de atendimento postal a 99,75% dos 5.570 municípios brasileiros. De acordo com a Carta de Políticas Públicas e Governança Corporativa dos Correios, de 2021, </w:t>
      </w:r>
      <w:r w:rsidR="00072078">
        <w:rPr>
          <w:rFonts w:ascii="Times New Roman" w:hAnsi="Times New Roman" w:cs="Times New Roman"/>
        </w:rPr>
        <w:t>o não atingimento da meta para a</w:t>
      </w:r>
      <w:r w:rsidRPr="009F6F7F">
        <w:rPr>
          <w:rFonts w:ascii="Times New Roman" w:hAnsi="Times New Roman" w:cs="Times New Roman"/>
        </w:rPr>
        <w:t xml:space="preserve"> UAPB </w:t>
      </w:r>
      <w:r w:rsidR="0005043A">
        <w:rPr>
          <w:rFonts w:ascii="Times New Roman" w:hAnsi="Times New Roman" w:cs="Times New Roman"/>
        </w:rPr>
        <w:t xml:space="preserve">(Universalização do Atendimento Postal Básico) </w:t>
      </w:r>
      <w:r w:rsidRPr="009F6F7F">
        <w:rPr>
          <w:rFonts w:ascii="Times New Roman" w:hAnsi="Times New Roman" w:cs="Times New Roman"/>
        </w:rPr>
        <w:t xml:space="preserve">decorre, principalmente, da dificuldade em formalizar parcerias com órgãos públicos para a instalação de agência de correios comunitária (AGC) nas localidades onde existe a necessidade de incremento de posição de atendimento. </w:t>
      </w:r>
    </w:p>
    <w:p w14:paraId="15B22133" w14:textId="28B954CD" w:rsidR="009F6F7F" w:rsidRDefault="009F6F7F" w:rsidP="009F6F7F">
      <w:pPr>
        <w:spacing w:line="360" w:lineRule="auto"/>
        <w:jc w:val="both"/>
        <w:rPr>
          <w:rFonts w:ascii="Times New Roman" w:hAnsi="Times New Roman" w:cs="Times New Roman"/>
        </w:rPr>
      </w:pPr>
      <w:r w:rsidRPr="009F6F7F">
        <w:rPr>
          <w:rFonts w:ascii="Times New Roman" w:hAnsi="Times New Roman" w:cs="Times New Roman"/>
        </w:rPr>
        <w:lastRenderedPageBreak/>
        <w:t>Ainda de acordo com a referida Carta, relativamente ao índice de universalização da distribuição postal, do alcance físico proposto de 9.824 distritos até 2024, obteve-se um total de 9.096 distritos com efetiva distribuição (92,57%), resultando em 102,86% de realização, acréscimo de 306 distritos em relação a 2020.</w:t>
      </w:r>
    </w:p>
    <w:p w14:paraId="57E999E7" w14:textId="2D420DB5" w:rsidR="00D47644" w:rsidRDefault="00F56783" w:rsidP="00897156">
      <w:pPr>
        <w:spacing w:line="360" w:lineRule="auto"/>
        <w:jc w:val="both"/>
        <w:rPr>
          <w:rFonts w:ascii="Times New Roman" w:hAnsi="Times New Roman" w:cs="Times New Roman"/>
        </w:rPr>
      </w:pPr>
      <w:r w:rsidRPr="00F56783">
        <w:rPr>
          <w:rFonts w:ascii="Times New Roman" w:hAnsi="Times New Roman" w:cs="Times New Roman"/>
        </w:rPr>
        <w:t>Nos mapas a seguir, de fonte própria, demonstram-se as localidades ou distritos cujos indicadores de universalização postal do atendimento e de distribuição encontram-se em déficit, na situação apurada em junho de 2023.</w:t>
      </w:r>
    </w:p>
    <w:p w14:paraId="6CF02FB9" w14:textId="77777777" w:rsidR="00F56783" w:rsidRDefault="00F56783" w:rsidP="00897156">
      <w:pPr>
        <w:spacing w:line="360" w:lineRule="auto"/>
        <w:jc w:val="both"/>
        <w:rPr>
          <w:rFonts w:ascii="Times New Roman" w:hAnsi="Times New Roman" w:cs="Times New Roman"/>
        </w:rPr>
      </w:pPr>
    </w:p>
    <w:p w14:paraId="67953143" w14:textId="6A0D9D41" w:rsidR="00D47644" w:rsidRPr="00D47644" w:rsidRDefault="00D47644" w:rsidP="00D47644">
      <w:pPr>
        <w:pStyle w:val="Legenda"/>
        <w:keepNext/>
        <w:jc w:val="both"/>
        <w:rPr>
          <w:sz w:val="24"/>
          <w:szCs w:val="24"/>
        </w:rPr>
      </w:pPr>
      <w:r w:rsidRPr="00D47644">
        <w:rPr>
          <w:sz w:val="24"/>
          <w:szCs w:val="24"/>
        </w:rPr>
        <w:t xml:space="preserve">Figuras </w:t>
      </w:r>
      <w:r w:rsidRPr="00D47644">
        <w:rPr>
          <w:sz w:val="24"/>
          <w:szCs w:val="24"/>
        </w:rPr>
        <w:fldChar w:fldCharType="begin"/>
      </w:r>
      <w:r w:rsidRPr="00D47644">
        <w:rPr>
          <w:sz w:val="24"/>
          <w:szCs w:val="24"/>
        </w:rPr>
        <w:instrText xml:space="preserve"> SEQ Figura \* ARABIC </w:instrText>
      </w:r>
      <w:r w:rsidRPr="00D47644">
        <w:rPr>
          <w:sz w:val="24"/>
          <w:szCs w:val="24"/>
        </w:rPr>
        <w:fldChar w:fldCharType="separate"/>
      </w:r>
      <w:r w:rsidRPr="00D47644">
        <w:rPr>
          <w:noProof/>
          <w:sz w:val="24"/>
          <w:szCs w:val="24"/>
        </w:rPr>
        <w:t>1</w:t>
      </w:r>
      <w:r w:rsidRPr="00D47644">
        <w:rPr>
          <w:sz w:val="24"/>
          <w:szCs w:val="24"/>
        </w:rPr>
        <w:fldChar w:fldCharType="end"/>
      </w:r>
      <w:r w:rsidRPr="00D47644">
        <w:rPr>
          <w:sz w:val="24"/>
          <w:szCs w:val="24"/>
        </w:rPr>
        <w:t xml:space="preserve"> e 2 – Atendimento e distribuição</w:t>
      </w:r>
    </w:p>
    <w:p w14:paraId="7CFEA6FC" w14:textId="4F173104" w:rsidR="00D47644" w:rsidRDefault="00F56783" w:rsidP="00897156">
      <w:pPr>
        <w:spacing w:line="360" w:lineRule="auto"/>
        <w:jc w:val="both"/>
      </w:pPr>
      <w:r>
        <w:rPr>
          <w:noProof/>
          <w:lang w:eastAsia="pt-BR"/>
        </w:rPr>
        <w:drawing>
          <wp:inline distT="0" distB="0" distL="0" distR="0" wp14:anchorId="20BC2B79" wp14:editId="6DDC8331">
            <wp:extent cx="2543175" cy="2493010"/>
            <wp:effectExtent l="0" t="0" r="9525" b="2540"/>
            <wp:docPr id="602683212" name="Imagem 602683212"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683212" name="Imagem 602683212" descr="Mapa&#10;&#10;Descrição gerada automaticament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543592" cy="2493419"/>
                    </a:xfrm>
                    <a:prstGeom prst="rect">
                      <a:avLst/>
                    </a:prstGeom>
                    <a:ln>
                      <a:noFill/>
                    </a:ln>
                    <a:extLst>
                      <a:ext uri="{53640926-AAD7-44D8-BBD7-CCE9431645EC}">
                        <a14:shadowObscured xmlns:a14="http://schemas.microsoft.com/office/drawing/2010/main"/>
                      </a:ext>
                    </a:extLst>
                  </pic:spPr>
                </pic:pic>
              </a:graphicData>
            </a:graphic>
          </wp:inline>
        </w:drawing>
      </w:r>
      <w:r w:rsidR="00D47644">
        <w:rPr>
          <w:noProof/>
          <w:lang w:eastAsia="pt-BR"/>
        </w:rPr>
        <w:drawing>
          <wp:inline distT="0" distB="0" distL="0" distR="0" wp14:anchorId="47C041A4" wp14:editId="35A30C97">
            <wp:extent cx="2562225" cy="2394585"/>
            <wp:effectExtent l="0" t="0" r="9525" b="5715"/>
            <wp:docPr id="1410632193" name="Imagem 1410632193"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32193" name="Imagem 1410632193" descr="Mapa&#10;&#10;Descrição gerada automaticament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562544" cy="2394883"/>
                    </a:xfrm>
                    <a:prstGeom prst="rect">
                      <a:avLst/>
                    </a:prstGeom>
                    <a:ln>
                      <a:noFill/>
                    </a:ln>
                    <a:extLst>
                      <a:ext uri="{53640926-AAD7-44D8-BBD7-CCE9431645EC}">
                        <a14:shadowObscured xmlns:a14="http://schemas.microsoft.com/office/drawing/2010/main"/>
                      </a:ext>
                    </a:extLst>
                  </pic:spPr>
                </pic:pic>
              </a:graphicData>
            </a:graphic>
          </wp:inline>
        </w:drawing>
      </w:r>
    </w:p>
    <w:p w14:paraId="47FF30FB" w14:textId="01A5806E" w:rsidR="00897156" w:rsidRDefault="00931723" w:rsidP="00897156">
      <w:pPr>
        <w:spacing w:line="360" w:lineRule="auto"/>
        <w:jc w:val="both"/>
        <w:rPr>
          <w:rFonts w:ascii="Times New Roman" w:hAnsi="Times New Roman" w:cs="Times New Roman"/>
        </w:rPr>
      </w:pPr>
      <w:r w:rsidRPr="00931723">
        <w:rPr>
          <w:rFonts w:ascii="Times New Roman" w:hAnsi="Times New Roman" w:cs="Times New Roman"/>
        </w:rPr>
        <w:t>Evidencia-se, assim, a existência de importantes lacunas na universalização dos serviços postais no Brasil.</w:t>
      </w:r>
    </w:p>
    <w:p w14:paraId="2C821F09" w14:textId="77777777" w:rsidR="00E4093D" w:rsidRDefault="00E4093D" w:rsidP="00897156">
      <w:pPr>
        <w:spacing w:line="360" w:lineRule="auto"/>
        <w:jc w:val="both"/>
        <w:rPr>
          <w:rFonts w:ascii="Times New Roman" w:hAnsi="Times New Roman" w:cs="Times New Roman"/>
        </w:rPr>
      </w:pPr>
    </w:p>
    <w:p w14:paraId="6EDA6895" w14:textId="77777777" w:rsidR="007104CC" w:rsidRPr="009E38EE" w:rsidRDefault="007104CC" w:rsidP="006D3F8B">
      <w:pPr>
        <w:spacing w:line="360" w:lineRule="auto"/>
        <w:rPr>
          <w:rFonts w:ascii="Times New Roman" w:hAnsi="Times New Roman" w:cs="Times New Roman"/>
        </w:rPr>
      </w:pPr>
      <w:r w:rsidRPr="009E38EE">
        <w:rPr>
          <w:rFonts w:ascii="Times New Roman" w:hAnsi="Times New Roman" w:cs="Times New Roman"/>
          <w:b/>
        </w:rPr>
        <w:t>CONCLUSÕES:</w:t>
      </w:r>
      <w:r w:rsidRPr="009E38EE">
        <w:rPr>
          <w:rFonts w:ascii="Times New Roman" w:hAnsi="Times New Roman" w:cs="Times New Roman"/>
        </w:rPr>
        <w:t xml:space="preserve"> </w:t>
      </w:r>
    </w:p>
    <w:p w14:paraId="053C8391" w14:textId="77777777" w:rsidR="00807087" w:rsidRPr="00807087" w:rsidRDefault="00807087" w:rsidP="00807087">
      <w:pPr>
        <w:spacing w:line="360" w:lineRule="auto"/>
        <w:jc w:val="both"/>
        <w:rPr>
          <w:rFonts w:ascii="Times New Roman" w:hAnsi="Times New Roman" w:cs="Times New Roman"/>
          <w:iCs/>
        </w:rPr>
      </w:pPr>
      <w:r w:rsidRPr="00807087">
        <w:rPr>
          <w:rFonts w:ascii="Times New Roman" w:hAnsi="Times New Roman" w:cs="Times New Roman"/>
          <w:iCs/>
        </w:rPr>
        <w:t>A análise dos indicadores adotados no período estudado, de 2016 a 2021, aponta que não há clareza na evolução dessas políticas, que permanecem as mesmas e apenas com a incorporação incremental de novas metas.</w:t>
      </w:r>
    </w:p>
    <w:p w14:paraId="767779C0" w14:textId="77777777" w:rsidR="00807087" w:rsidRPr="00807087" w:rsidRDefault="00807087" w:rsidP="00807087">
      <w:pPr>
        <w:spacing w:line="360" w:lineRule="auto"/>
        <w:jc w:val="both"/>
        <w:rPr>
          <w:rFonts w:ascii="Times New Roman" w:hAnsi="Times New Roman" w:cs="Times New Roman"/>
          <w:iCs/>
        </w:rPr>
      </w:pPr>
      <w:r w:rsidRPr="00807087">
        <w:rPr>
          <w:rFonts w:ascii="Times New Roman" w:hAnsi="Times New Roman" w:cs="Times New Roman"/>
          <w:iCs/>
        </w:rPr>
        <w:t>De modo geral, observou-se que os resultados dos indicadores apontam, por um lado, um distanciamento em relação ao observado em outros países do mundo,</w:t>
      </w:r>
      <w:r>
        <w:rPr>
          <w:rFonts w:ascii="Times New Roman" w:hAnsi="Times New Roman" w:cs="Times New Roman"/>
          <w:iCs/>
        </w:rPr>
        <w:t xml:space="preserve"> </w:t>
      </w:r>
      <w:r w:rsidRPr="00807087">
        <w:rPr>
          <w:rFonts w:ascii="Times New Roman" w:hAnsi="Times New Roman" w:cs="Times New Roman"/>
          <w:iCs/>
        </w:rPr>
        <w:t>muitos deles já alcançando uma total universalização dos serviços postais e, por outro lado, uma quase estagnação dos resultados desses indicadores no Brasil ao longo dos anos, sem variações positivas relevantes, o que parece apontar para a necessidade de revisão do modelo.</w:t>
      </w:r>
    </w:p>
    <w:p w14:paraId="6086A54C" w14:textId="77777777" w:rsidR="00807087" w:rsidRPr="00807087" w:rsidRDefault="00807087" w:rsidP="00807087">
      <w:pPr>
        <w:spacing w:line="360" w:lineRule="auto"/>
        <w:jc w:val="both"/>
        <w:rPr>
          <w:rFonts w:ascii="Times New Roman" w:hAnsi="Times New Roman" w:cs="Times New Roman"/>
          <w:iCs/>
        </w:rPr>
      </w:pPr>
      <w:r w:rsidRPr="00807087">
        <w:rPr>
          <w:rFonts w:ascii="Times New Roman" w:hAnsi="Times New Roman" w:cs="Times New Roman"/>
          <w:iCs/>
        </w:rPr>
        <w:lastRenderedPageBreak/>
        <w:t>Ademais, há uma restrita produção sobre o tema, voltada apenas à análise interna da ECT e do Ministério das Comunicações, o que limita o trabalho de avaliação de dados secundários, como foi a proposta do presente artigo.</w:t>
      </w:r>
    </w:p>
    <w:p w14:paraId="288039D7" w14:textId="77777777" w:rsidR="00807087" w:rsidRPr="00807087" w:rsidRDefault="00807087" w:rsidP="00807087">
      <w:pPr>
        <w:spacing w:line="360" w:lineRule="auto"/>
        <w:jc w:val="both"/>
        <w:rPr>
          <w:rFonts w:ascii="Times New Roman" w:hAnsi="Times New Roman" w:cs="Times New Roman"/>
          <w:iCs/>
        </w:rPr>
      </w:pPr>
      <w:r w:rsidRPr="00807087">
        <w:rPr>
          <w:rFonts w:ascii="Times New Roman" w:hAnsi="Times New Roman" w:cs="Times New Roman"/>
          <w:iCs/>
        </w:rPr>
        <w:t>Não foi possível identificar um modelo teórico que sustentasse a formulação das políticas públicas para o setor, sobretudo porque o modelo regulatório apresenta um forte descompasso com as transformações do setor postal no mundo, com o aumento da concorrência e internacionalização dos operadores públicos e privados.</w:t>
      </w:r>
    </w:p>
    <w:p w14:paraId="5A37AFCA" w14:textId="77777777" w:rsidR="00807087" w:rsidRPr="00807087" w:rsidRDefault="00807087" w:rsidP="00807087">
      <w:pPr>
        <w:spacing w:line="360" w:lineRule="auto"/>
        <w:jc w:val="both"/>
        <w:rPr>
          <w:rFonts w:ascii="Times New Roman" w:hAnsi="Times New Roman" w:cs="Times New Roman"/>
          <w:iCs/>
        </w:rPr>
      </w:pPr>
      <w:r w:rsidRPr="00807087">
        <w:rPr>
          <w:rFonts w:ascii="Times New Roman" w:hAnsi="Times New Roman" w:cs="Times New Roman"/>
          <w:iCs/>
        </w:rPr>
        <w:t>Assim, o anacronismo do modelo regulatório do setor postal recomendaria outros estudos de análise, pelos seus impactos sobre a perspectiva de universalização dos serviços postais.</w:t>
      </w:r>
    </w:p>
    <w:p w14:paraId="14492A76" w14:textId="77777777" w:rsidR="007104CC" w:rsidRPr="009E38EE" w:rsidRDefault="007104CC" w:rsidP="007104CC">
      <w:pPr>
        <w:jc w:val="both"/>
        <w:rPr>
          <w:rFonts w:ascii="Times New Roman" w:hAnsi="Times New Roman" w:cs="Times New Roman"/>
          <w:sz w:val="18"/>
          <w:szCs w:val="18"/>
        </w:rPr>
      </w:pPr>
    </w:p>
    <w:p w14:paraId="55EEAC0F" w14:textId="277C9731" w:rsidR="007104CC" w:rsidRDefault="007104CC" w:rsidP="007104CC">
      <w:pPr>
        <w:rPr>
          <w:rFonts w:ascii="Times New Roman" w:hAnsi="Times New Roman" w:cs="Times New Roman"/>
        </w:rPr>
      </w:pPr>
      <w:r w:rsidRPr="009E38EE">
        <w:rPr>
          <w:rFonts w:ascii="Times New Roman" w:hAnsi="Times New Roman" w:cs="Times New Roman"/>
          <w:b/>
        </w:rPr>
        <w:t>REFERÊNCIAS:</w:t>
      </w:r>
      <w:r w:rsidRPr="009E38EE">
        <w:rPr>
          <w:rFonts w:ascii="Times New Roman" w:hAnsi="Times New Roman" w:cs="Times New Roman"/>
        </w:rPr>
        <w:t xml:space="preserve"> </w:t>
      </w:r>
    </w:p>
    <w:p w14:paraId="71C0F9FB" w14:textId="77777777" w:rsidR="006D3F8B" w:rsidRPr="009E38EE" w:rsidRDefault="006D3F8B" w:rsidP="007104CC">
      <w:pPr>
        <w:rPr>
          <w:rFonts w:ascii="Times New Roman" w:hAnsi="Times New Roman" w:cs="Times New Roman"/>
        </w:rPr>
      </w:pPr>
    </w:p>
    <w:p w14:paraId="6C4F2C81" w14:textId="5962F5FA" w:rsidR="005A4C4A" w:rsidRDefault="00522577" w:rsidP="00522577">
      <w:pPr>
        <w:rPr>
          <w:rFonts w:ascii="Times New Roman" w:hAnsi="Times New Roman" w:cs="Times New Roman"/>
        </w:rPr>
      </w:pPr>
      <w:r w:rsidRPr="00522577">
        <w:rPr>
          <w:rFonts w:ascii="Times New Roman" w:hAnsi="Times New Roman" w:cs="Times New Roman"/>
        </w:rPr>
        <w:t xml:space="preserve">ARRETCHE, Marta. Dossiê agenda de pesquisas em políticas públicas. </w:t>
      </w:r>
      <w:r w:rsidRPr="00553DE4">
        <w:rPr>
          <w:rFonts w:ascii="Times New Roman" w:hAnsi="Times New Roman" w:cs="Times New Roman"/>
          <w:b/>
        </w:rPr>
        <w:t>Revista Brasileira de Ciências Sociais</w:t>
      </w:r>
      <w:r w:rsidRPr="00522577">
        <w:rPr>
          <w:rFonts w:ascii="Times New Roman" w:hAnsi="Times New Roman" w:cs="Times New Roman"/>
        </w:rPr>
        <w:t>, v. 18, p. 7-10, 2003.</w:t>
      </w:r>
    </w:p>
    <w:p w14:paraId="78894206" w14:textId="77777777" w:rsidR="00522577" w:rsidRDefault="00522577" w:rsidP="00522577">
      <w:pPr>
        <w:rPr>
          <w:rFonts w:ascii="Times New Roman" w:hAnsi="Times New Roman" w:cs="Times New Roman"/>
        </w:rPr>
      </w:pPr>
    </w:p>
    <w:p w14:paraId="448353FB" w14:textId="545A4F15" w:rsidR="00522577" w:rsidRDefault="00522577" w:rsidP="00522577">
      <w:pPr>
        <w:rPr>
          <w:rFonts w:ascii="Times New Roman" w:hAnsi="Times New Roman" w:cs="Times New Roman"/>
        </w:rPr>
      </w:pPr>
      <w:r w:rsidRPr="00522577">
        <w:rPr>
          <w:rFonts w:ascii="Times New Roman" w:hAnsi="Times New Roman" w:cs="Times New Roman"/>
        </w:rPr>
        <w:t xml:space="preserve">BUCCI, Maria Paula Dallari. </w:t>
      </w:r>
      <w:r w:rsidRPr="00553DE4">
        <w:rPr>
          <w:rFonts w:ascii="Times New Roman" w:hAnsi="Times New Roman" w:cs="Times New Roman"/>
          <w:b/>
        </w:rPr>
        <w:t>O conceito de política pública em direito</w:t>
      </w:r>
      <w:r w:rsidRPr="00522577">
        <w:rPr>
          <w:rFonts w:ascii="Times New Roman" w:hAnsi="Times New Roman" w:cs="Times New Roman"/>
        </w:rPr>
        <w:t>. Políticas públicas: reflexões sobre o conceito jurídico. São Paulo: Saraiva, p. 1-49, 2006.</w:t>
      </w:r>
    </w:p>
    <w:p w14:paraId="44B6C57C" w14:textId="77777777" w:rsidR="00522577" w:rsidRDefault="00522577" w:rsidP="00522577">
      <w:pPr>
        <w:rPr>
          <w:rFonts w:ascii="Times New Roman" w:hAnsi="Times New Roman" w:cs="Times New Roman"/>
        </w:rPr>
      </w:pPr>
    </w:p>
    <w:p w14:paraId="5D8E56A7" w14:textId="192BE37D" w:rsidR="00522577" w:rsidRDefault="00522577" w:rsidP="00522577">
      <w:pPr>
        <w:rPr>
          <w:rFonts w:ascii="Times New Roman" w:hAnsi="Times New Roman" w:cs="Times New Roman"/>
        </w:rPr>
      </w:pPr>
      <w:r w:rsidRPr="00522577">
        <w:rPr>
          <w:rFonts w:ascii="Times New Roman" w:hAnsi="Times New Roman" w:cs="Times New Roman"/>
        </w:rPr>
        <w:t xml:space="preserve">CORREIOS. </w:t>
      </w:r>
      <w:r w:rsidRPr="00553DE4">
        <w:rPr>
          <w:rFonts w:ascii="Times New Roman" w:hAnsi="Times New Roman" w:cs="Times New Roman"/>
          <w:b/>
        </w:rPr>
        <w:t>Carta anual de políticas públicas e governança corporativa 2021</w:t>
      </w:r>
      <w:r w:rsidRPr="00522577">
        <w:rPr>
          <w:rFonts w:ascii="Times New Roman" w:hAnsi="Times New Roman" w:cs="Times New Roman"/>
        </w:rPr>
        <w:t>. Disponível em &lt;https://www.correios.com.br/acesso-a-informacao/institucional/publicacoes/carta-anual-de-politicas-publicas-e-governanca-corporativa/arquivo/carta-anual-de-politicas-publicas-e-governanca-corporativa-exercicio-2021&gt; Acesso em: 20 de jul. de 2023.</w:t>
      </w:r>
    </w:p>
    <w:p w14:paraId="32C2EFB4" w14:textId="77777777" w:rsidR="00522577" w:rsidRDefault="00522577" w:rsidP="00522577">
      <w:pPr>
        <w:rPr>
          <w:rFonts w:ascii="Times New Roman" w:hAnsi="Times New Roman" w:cs="Times New Roman"/>
        </w:rPr>
      </w:pPr>
    </w:p>
    <w:p w14:paraId="219C4E2F" w14:textId="77777777" w:rsidR="00522577" w:rsidRPr="00522577" w:rsidRDefault="00522577" w:rsidP="00522577">
      <w:pPr>
        <w:rPr>
          <w:rFonts w:ascii="Times New Roman" w:hAnsi="Times New Roman" w:cs="Times New Roman"/>
        </w:rPr>
      </w:pPr>
      <w:r w:rsidRPr="00522577">
        <w:rPr>
          <w:rFonts w:ascii="Times New Roman" w:hAnsi="Times New Roman" w:cs="Times New Roman"/>
        </w:rPr>
        <w:t xml:space="preserve">FARIA, Carlos Aurélio Pimenta. Ideais, Conhecimento e Políticas Públicas: Um Inventário Sucinto das Principais Vertentes Analíticas Recentes, </w:t>
      </w:r>
      <w:r w:rsidRPr="00553DE4">
        <w:rPr>
          <w:rFonts w:ascii="Times New Roman" w:hAnsi="Times New Roman" w:cs="Times New Roman"/>
          <w:b/>
        </w:rPr>
        <w:t>Revista Brasileira de Ciências Sociai</w:t>
      </w:r>
      <w:r w:rsidRPr="00522577">
        <w:rPr>
          <w:rFonts w:ascii="Times New Roman" w:hAnsi="Times New Roman" w:cs="Times New Roman"/>
        </w:rPr>
        <w:t>s 18 (51): 21-30. 2003.</w:t>
      </w:r>
    </w:p>
    <w:p w14:paraId="7B729511" w14:textId="77777777" w:rsidR="00522577" w:rsidRDefault="00522577" w:rsidP="00522577">
      <w:pPr>
        <w:rPr>
          <w:rFonts w:ascii="Times New Roman" w:hAnsi="Times New Roman" w:cs="Times New Roman"/>
        </w:rPr>
      </w:pPr>
    </w:p>
    <w:p w14:paraId="460D3F23" w14:textId="04701A79" w:rsidR="00FD2237" w:rsidRDefault="00522577" w:rsidP="00522577">
      <w:pPr>
        <w:rPr>
          <w:rFonts w:ascii="Times New Roman" w:hAnsi="Times New Roman" w:cs="Times New Roman"/>
        </w:rPr>
      </w:pPr>
      <w:r w:rsidRPr="00522577">
        <w:rPr>
          <w:rFonts w:ascii="Times New Roman" w:hAnsi="Times New Roman" w:cs="Times New Roman"/>
        </w:rPr>
        <w:t xml:space="preserve">GABAN, Eduardo M. </w:t>
      </w:r>
      <w:r w:rsidRPr="00553DE4">
        <w:rPr>
          <w:rFonts w:ascii="Times New Roman" w:hAnsi="Times New Roman" w:cs="Times New Roman"/>
          <w:b/>
        </w:rPr>
        <w:t>Regulação do setor postal</w:t>
      </w:r>
      <w:r w:rsidRPr="00522577">
        <w:rPr>
          <w:rFonts w:ascii="Times New Roman" w:hAnsi="Times New Roman" w:cs="Times New Roman"/>
        </w:rPr>
        <w:t>. São Paulo: Saraiva, 2012.</w:t>
      </w:r>
    </w:p>
    <w:p w14:paraId="75CDB4B8" w14:textId="77777777" w:rsidR="00522577" w:rsidRDefault="00522577" w:rsidP="00522577">
      <w:pPr>
        <w:rPr>
          <w:rFonts w:ascii="Times New Roman" w:hAnsi="Times New Roman" w:cs="Times New Roman"/>
        </w:rPr>
      </w:pPr>
    </w:p>
    <w:p w14:paraId="5BB44CAD" w14:textId="304EDEAD" w:rsidR="00522577" w:rsidRDefault="00522577" w:rsidP="00522577">
      <w:pPr>
        <w:rPr>
          <w:rFonts w:ascii="Times New Roman" w:hAnsi="Times New Roman" w:cs="Times New Roman"/>
        </w:rPr>
      </w:pPr>
      <w:r w:rsidRPr="00522577">
        <w:rPr>
          <w:rFonts w:ascii="Times New Roman" w:hAnsi="Times New Roman" w:cs="Times New Roman"/>
        </w:rPr>
        <w:t xml:space="preserve">MESQUITA, Clarissa Ferreira de Melo. </w:t>
      </w:r>
      <w:r w:rsidRPr="00553DE4">
        <w:rPr>
          <w:rFonts w:ascii="Times New Roman" w:hAnsi="Times New Roman" w:cs="Times New Roman"/>
          <w:b/>
        </w:rPr>
        <w:t>Regime jurídico do setor postal</w:t>
      </w:r>
      <w:r w:rsidRPr="00522577">
        <w:rPr>
          <w:rFonts w:ascii="Times New Roman" w:hAnsi="Times New Roman" w:cs="Times New Roman"/>
        </w:rPr>
        <w:t>. Saraiva Educação SA, 2014.</w:t>
      </w:r>
    </w:p>
    <w:p w14:paraId="6F9AE74F" w14:textId="77777777" w:rsidR="00522577" w:rsidRDefault="00522577" w:rsidP="00522577">
      <w:pPr>
        <w:rPr>
          <w:rFonts w:ascii="Times New Roman" w:hAnsi="Times New Roman" w:cs="Times New Roman"/>
        </w:rPr>
      </w:pPr>
    </w:p>
    <w:p w14:paraId="3F03B6E0" w14:textId="55A3239D" w:rsidR="00522577" w:rsidRDefault="00522577" w:rsidP="00522577">
      <w:pPr>
        <w:rPr>
          <w:rFonts w:ascii="Times New Roman" w:hAnsi="Times New Roman" w:cs="Times New Roman"/>
        </w:rPr>
      </w:pPr>
      <w:r w:rsidRPr="00522577">
        <w:rPr>
          <w:rFonts w:ascii="Times New Roman" w:hAnsi="Times New Roman" w:cs="Times New Roman"/>
        </w:rPr>
        <w:t xml:space="preserve">UPU. </w:t>
      </w:r>
      <w:r w:rsidRPr="00553DE4">
        <w:rPr>
          <w:rFonts w:ascii="Times New Roman" w:hAnsi="Times New Roman" w:cs="Times New Roman"/>
          <w:b/>
        </w:rPr>
        <w:t xml:space="preserve">Postal </w:t>
      </w:r>
      <w:proofErr w:type="spellStart"/>
      <w:r w:rsidRPr="00553DE4">
        <w:rPr>
          <w:rFonts w:ascii="Times New Roman" w:hAnsi="Times New Roman" w:cs="Times New Roman"/>
          <w:b/>
        </w:rPr>
        <w:t>Statistics</w:t>
      </w:r>
      <w:proofErr w:type="spellEnd"/>
      <w:r w:rsidRPr="00553DE4">
        <w:rPr>
          <w:rFonts w:ascii="Times New Roman" w:hAnsi="Times New Roman" w:cs="Times New Roman"/>
          <w:b/>
        </w:rPr>
        <w:t xml:space="preserve"> 2021</w:t>
      </w:r>
      <w:r w:rsidRPr="00522577">
        <w:rPr>
          <w:rFonts w:ascii="Times New Roman" w:hAnsi="Times New Roman" w:cs="Times New Roman"/>
        </w:rPr>
        <w:t>. Disponível em: &lt;http://pls.upu.int/pls/ap/ssp_report.CreateReport&gt;. Acesso em 22 de jul.2023.</w:t>
      </w:r>
    </w:p>
    <w:p w14:paraId="5CC14D71" w14:textId="77777777" w:rsidR="00522577" w:rsidRPr="00FD2237" w:rsidRDefault="00522577" w:rsidP="00522577">
      <w:pPr>
        <w:spacing w:line="360" w:lineRule="auto"/>
        <w:jc w:val="both"/>
        <w:rPr>
          <w:rFonts w:ascii="Times New Roman" w:hAnsi="Times New Roman" w:cs="Times New Roman"/>
        </w:rPr>
      </w:pPr>
    </w:p>
    <w:p w14:paraId="7CB9E4D2" w14:textId="77777777" w:rsidR="007104CC" w:rsidRPr="009E38EE" w:rsidRDefault="007104CC" w:rsidP="006D3F8B">
      <w:pPr>
        <w:spacing w:line="360" w:lineRule="auto"/>
        <w:jc w:val="both"/>
        <w:rPr>
          <w:rFonts w:ascii="Times New Roman" w:hAnsi="Times New Roman" w:cs="Times New Roman"/>
          <w:sz w:val="18"/>
          <w:szCs w:val="18"/>
          <w:lang w:val="en-US"/>
        </w:rPr>
      </w:pPr>
    </w:p>
    <w:p w14:paraId="134F8F78" w14:textId="77777777" w:rsidR="007104CC" w:rsidRPr="009E38EE" w:rsidRDefault="007104CC" w:rsidP="006D3F8B">
      <w:pPr>
        <w:spacing w:line="360" w:lineRule="auto"/>
      </w:pPr>
    </w:p>
    <w:sectPr w:rsidR="007104CC" w:rsidRPr="009E38EE" w:rsidSect="00B17C21">
      <w:headerReference w:type="even" r:id="rId10"/>
      <w:headerReference w:type="default" r:id="rId11"/>
      <w:footerReference w:type="even" r:id="rId12"/>
      <w:footerReference w:type="default" r:id="rId13"/>
      <w:headerReference w:type="first" r:id="rId14"/>
      <w:footerReference w:type="first" r:id="rId15"/>
      <w:pgSz w:w="11906" w:h="16838"/>
      <w:pgMar w:top="1440" w:right="1700" w:bottom="1440" w:left="1985"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B1B2" w14:textId="77777777" w:rsidR="00696E87" w:rsidRDefault="00696E87" w:rsidP="00542851">
      <w:r>
        <w:separator/>
      </w:r>
    </w:p>
  </w:endnote>
  <w:endnote w:type="continuationSeparator" w:id="0">
    <w:p w14:paraId="0529AB49" w14:textId="77777777" w:rsidR="00696E87" w:rsidRDefault="00696E87" w:rsidP="0054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B0DA" w14:textId="77777777" w:rsidR="00165384" w:rsidRDefault="0016538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3D7B" w14:textId="767138C3" w:rsidR="00542851" w:rsidRPr="00F0326B" w:rsidRDefault="00542851" w:rsidP="00542851">
    <w:pPr>
      <w:pStyle w:val="Pargrafobsico"/>
      <w:rPr>
        <w:rFonts w:ascii="Arial" w:hAnsi="Arial" w:cs="Arial"/>
        <w:color w:val="676866"/>
        <w:sz w:val="16"/>
        <w:szCs w:val="16"/>
      </w:rPr>
    </w:pPr>
    <w:r w:rsidRPr="00F0326B">
      <w:rPr>
        <w:rFonts w:ascii="Arial" w:hAnsi="Arial" w:cs="Arial"/>
        <w:noProof/>
        <w:lang w:eastAsia="pt-BR"/>
      </w:rPr>
      <w:drawing>
        <wp:anchor distT="0" distB="0" distL="114300" distR="114300" simplePos="0" relativeHeight="251658240" behindDoc="1" locked="0" layoutInCell="1" allowOverlap="1" wp14:anchorId="00561B15" wp14:editId="569EE22B">
          <wp:simplePos x="0" y="0"/>
          <wp:positionH relativeFrom="page">
            <wp:align>right</wp:align>
          </wp:positionH>
          <wp:positionV relativeFrom="paragraph">
            <wp:posOffset>-837106</wp:posOffset>
          </wp:positionV>
          <wp:extent cx="5672455" cy="1348105"/>
          <wp:effectExtent l="0" t="0" r="4445" b="4445"/>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1348105"/>
                  </a:xfrm>
                  <a:prstGeom prst="rect">
                    <a:avLst/>
                  </a:prstGeom>
                  <a:noFill/>
                  <a:ln>
                    <a:noFill/>
                  </a:ln>
                </pic:spPr>
              </pic:pic>
            </a:graphicData>
          </a:graphic>
        </wp:anchor>
      </w:drawing>
    </w:r>
  </w:p>
  <w:p w14:paraId="4571FD19" w14:textId="5BE37EDC" w:rsidR="00542851" w:rsidRPr="00542851" w:rsidRDefault="0054285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753C" w14:textId="77777777" w:rsidR="00165384" w:rsidRDefault="0016538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BC40" w14:textId="77777777" w:rsidR="00696E87" w:rsidRDefault="00696E87" w:rsidP="00542851">
      <w:r>
        <w:separator/>
      </w:r>
    </w:p>
  </w:footnote>
  <w:footnote w:type="continuationSeparator" w:id="0">
    <w:p w14:paraId="446F8D9E" w14:textId="77777777" w:rsidR="00696E87" w:rsidRDefault="00696E87" w:rsidP="00542851">
      <w:r>
        <w:continuationSeparator/>
      </w:r>
    </w:p>
  </w:footnote>
  <w:footnote w:id="1">
    <w:p w14:paraId="16C5E90C" w14:textId="76757522" w:rsidR="00055D20" w:rsidRDefault="00055D20">
      <w:pPr>
        <w:pStyle w:val="Textodenotaderodap"/>
      </w:pPr>
      <w:r>
        <w:rPr>
          <w:rStyle w:val="Refdenotaderodap"/>
        </w:rPr>
        <w:footnoteRef/>
      </w:r>
      <w:r>
        <w:t xml:space="preserve"> </w:t>
      </w:r>
      <w:r w:rsidRPr="00055D20">
        <w:t>Administradora. Mestranda em Direito, Governança e Políticas Públicas na Universidade Salvador. e-Mail: marcelacarvalho12@gmail.com</w:t>
      </w:r>
    </w:p>
  </w:footnote>
  <w:footnote w:id="2">
    <w:p w14:paraId="21ED9038" w14:textId="3B27AEC8" w:rsidR="00055D20" w:rsidRDefault="00055D20">
      <w:pPr>
        <w:pStyle w:val="Textodenotaderodap"/>
      </w:pPr>
      <w:r>
        <w:rPr>
          <w:rStyle w:val="Refdenotaderodap"/>
        </w:rPr>
        <w:footnoteRef/>
      </w:r>
      <w:r>
        <w:t xml:space="preserve"> </w:t>
      </w:r>
      <w:r w:rsidRPr="00055D20">
        <w:t>Administrador. Mestrando em Direito, Governança e Políticas Públicas na Universidade Salvador.   e-Mail: martinho.filho@animaeducacao.com.br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B0" w14:textId="77777777" w:rsidR="00165384" w:rsidRDefault="0016538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3F47" w14:textId="302EA7B8" w:rsidR="00542851" w:rsidRDefault="00E4715D" w:rsidP="008E5D17">
    <w:pPr>
      <w:pStyle w:val="Cabealho"/>
      <w:jc w:val="right"/>
    </w:pPr>
    <w:r>
      <w:rPr>
        <w:noProof/>
        <w:lang w:eastAsia="pt-BR"/>
      </w:rPr>
      <w:drawing>
        <wp:inline distT="0" distB="0" distL="0" distR="0" wp14:anchorId="08E51DE8" wp14:editId="02F90CCC">
          <wp:extent cx="868961" cy="64770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_ecossistema_roxodegrade_Men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7804" cy="691560"/>
                  </a:xfrm>
                  <a:prstGeom prst="rect">
                    <a:avLst/>
                  </a:prstGeom>
                </pic:spPr>
              </pic:pic>
            </a:graphicData>
          </a:graphic>
        </wp:inline>
      </w:drawing>
    </w:r>
  </w:p>
  <w:p w14:paraId="555614B5" w14:textId="76FB77F8" w:rsidR="004E5CF4" w:rsidRDefault="004E5CF4">
    <w:pPr>
      <w:pStyle w:val="Cabealho"/>
    </w:pPr>
  </w:p>
  <w:p w14:paraId="2836520B" w14:textId="77777777" w:rsidR="004E5CF4" w:rsidRDefault="004E5CF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2529" w14:textId="77777777" w:rsidR="00165384" w:rsidRDefault="0016538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B81"/>
    <w:multiLevelType w:val="hybridMultilevel"/>
    <w:tmpl w:val="1D06D5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11E8340E"/>
    <w:multiLevelType w:val="hybridMultilevel"/>
    <w:tmpl w:val="73804E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320114531">
    <w:abstractNumId w:val="1"/>
  </w:num>
  <w:num w:numId="2" w16cid:durableId="2056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51"/>
    <w:rsid w:val="00036CC6"/>
    <w:rsid w:val="00046BBA"/>
    <w:rsid w:val="0005043A"/>
    <w:rsid w:val="00055D20"/>
    <w:rsid w:val="00072078"/>
    <w:rsid w:val="000F6C23"/>
    <w:rsid w:val="00110AC0"/>
    <w:rsid w:val="001236F3"/>
    <w:rsid w:val="00154BDB"/>
    <w:rsid w:val="00165384"/>
    <w:rsid w:val="001A3042"/>
    <w:rsid w:val="00286976"/>
    <w:rsid w:val="002C392F"/>
    <w:rsid w:val="002F5058"/>
    <w:rsid w:val="00301F1D"/>
    <w:rsid w:val="003078D1"/>
    <w:rsid w:val="00341101"/>
    <w:rsid w:val="004644EE"/>
    <w:rsid w:val="00475C9A"/>
    <w:rsid w:val="0048260B"/>
    <w:rsid w:val="004E5CF4"/>
    <w:rsid w:val="00522577"/>
    <w:rsid w:val="00542851"/>
    <w:rsid w:val="00553DE4"/>
    <w:rsid w:val="00571777"/>
    <w:rsid w:val="005915F4"/>
    <w:rsid w:val="005A4C4A"/>
    <w:rsid w:val="00662527"/>
    <w:rsid w:val="00696E87"/>
    <w:rsid w:val="006D3F8B"/>
    <w:rsid w:val="007104CC"/>
    <w:rsid w:val="00710540"/>
    <w:rsid w:val="007442B5"/>
    <w:rsid w:val="007613F8"/>
    <w:rsid w:val="0077220B"/>
    <w:rsid w:val="00793ABF"/>
    <w:rsid w:val="007E3E5B"/>
    <w:rsid w:val="007F32ED"/>
    <w:rsid w:val="00807087"/>
    <w:rsid w:val="00834C7A"/>
    <w:rsid w:val="0086362B"/>
    <w:rsid w:val="00882D38"/>
    <w:rsid w:val="00895FB2"/>
    <w:rsid w:val="00897156"/>
    <w:rsid w:val="008E5D17"/>
    <w:rsid w:val="00922755"/>
    <w:rsid w:val="00931723"/>
    <w:rsid w:val="00936160"/>
    <w:rsid w:val="00983ED1"/>
    <w:rsid w:val="009A4CEB"/>
    <w:rsid w:val="009B02DF"/>
    <w:rsid w:val="009B1495"/>
    <w:rsid w:val="009E38EE"/>
    <w:rsid w:val="009E42A0"/>
    <w:rsid w:val="009E7026"/>
    <w:rsid w:val="009F6F7F"/>
    <w:rsid w:val="00A069DF"/>
    <w:rsid w:val="00A90F5A"/>
    <w:rsid w:val="00B17C21"/>
    <w:rsid w:val="00B21257"/>
    <w:rsid w:val="00B312DE"/>
    <w:rsid w:val="00B6053D"/>
    <w:rsid w:val="00B657BC"/>
    <w:rsid w:val="00B95E7F"/>
    <w:rsid w:val="00BD53F4"/>
    <w:rsid w:val="00CD5DBB"/>
    <w:rsid w:val="00CF2FF2"/>
    <w:rsid w:val="00D47644"/>
    <w:rsid w:val="00E4093D"/>
    <w:rsid w:val="00E468F4"/>
    <w:rsid w:val="00E4715D"/>
    <w:rsid w:val="00E75BB6"/>
    <w:rsid w:val="00EF799C"/>
    <w:rsid w:val="00F0326B"/>
    <w:rsid w:val="00F56783"/>
    <w:rsid w:val="00F5732B"/>
    <w:rsid w:val="00F67DFF"/>
    <w:rsid w:val="00F82689"/>
    <w:rsid w:val="00FA0CDF"/>
    <w:rsid w:val="00FD22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EE6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57"/>
    <w:pPr>
      <w:spacing w:after="0" w:line="240" w:lineRule="auto"/>
    </w:pPr>
    <w:rPr>
      <w:sz w:val="24"/>
      <w:szCs w:val="24"/>
    </w:rPr>
  </w:style>
  <w:style w:type="paragraph" w:styleId="Ttulo2">
    <w:name w:val="heading 2"/>
    <w:basedOn w:val="Normal"/>
    <w:next w:val="Normal"/>
    <w:link w:val="Ttulo2Char"/>
    <w:uiPriority w:val="9"/>
    <w:semiHidden/>
    <w:unhideWhenUsed/>
    <w:qFormat/>
    <w:rsid w:val="00B2125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2851"/>
    <w:pPr>
      <w:tabs>
        <w:tab w:val="center" w:pos="4513"/>
        <w:tab w:val="right" w:pos="9026"/>
      </w:tabs>
    </w:pPr>
    <w:rPr>
      <w:sz w:val="22"/>
      <w:szCs w:val="22"/>
    </w:rPr>
  </w:style>
  <w:style w:type="character" w:customStyle="1" w:styleId="CabealhoChar">
    <w:name w:val="Cabeçalho Char"/>
    <w:basedOn w:val="Fontepargpadro"/>
    <w:link w:val="Cabealho"/>
    <w:uiPriority w:val="99"/>
    <w:rsid w:val="00542851"/>
  </w:style>
  <w:style w:type="paragraph" w:styleId="Rodap">
    <w:name w:val="footer"/>
    <w:basedOn w:val="Normal"/>
    <w:link w:val="RodapChar"/>
    <w:uiPriority w:val="99"/>
    <w:unhideWhenUsed/>
    <w:rsid w:val="00542851"/>
    <w:pPr>
      <w:tabs>
        <w:tab w:val="center" w:pos="4513"/>
        <w:tab w:val="right" w:pos="9026"/>
      </w:tabs>
    </w:pPr>
    <w:rPr>
      <w:sz w:val="22"/>
      <w:szCs w:val="22"/>
    </w:rPr>
  </w:style>
  <w:style w:type="character" w:customStyle="1" w:styleId="RodapChar">
    <w:name w:val="Rodapé Char"/>
    <w:basedOn w:val="Fontepargpadro"/>
    <w:link w:val="Rodap"/>
    <w:uiPriority w:val="99"/>
    <w:rsid w:val="00542851"/>
  </w:style>
  <w:style w:type="paragraph" w:customStyle="1" w:styleId="Pargrafobsico">
    <w:name w:val="[Parágrafo básico]"/>
    <w:basedOn w:val="Normal"/>
    <w:uiPriority w:val="99"/>
    <w:rsid w:val="00542851"/>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Fontepargpadro"/>
    <w:uiPriority w:val="99"/>
    <w:semiHidden/>
    <w:unhideWhenUsed/>
    <w:rsid w:val="00B17C21"/>
    <w:rPr>
      <w:color w:val="0563C1" w:themeColor="hyperlink"/>
      <w:u w:val="single"/>
    </w:rPr>
  </w:style>
  <w:style w:type="paragraph" w:styleId="PargrafodaLista">
    <w:name w:val="List Paragraph"/>
    <w:basedOn w:val="Normal"/>
    <w:uiPriority w:val="34"/>
    <w:qFormat/>
    <w:rsid w:val="00B17C21"/>
    <w:pPr>
      <w:ind w:left="720"/>
      <w:contextualSpacing/>
    </w:pPr>
    <w:rPr>
      <w:sz w:val="22"/>
      <w:szCs w:val="22"/>
    </w:rPr>
  </w:style>
  <w:style w:type="character" w:customStyle="1" w:styleId="Ttulo2Char">
    <w:name w:val="Título 2 Char"/>
    <w:basedOn w:val="Fontepargpadro"/>
    <w:link w:val="Ttulo2"/>
    <w:uiPriority w:val="9"/>
    <w:semiHidden/>
    <w:rsid w:val="00B21257"/>
    <w:rPr>
      <w:rFonts w:asciiTheme="majorHAnsi" w:eastAsiaTheme="majorEastAsia" w:hAnsiTheme="majorHAnsi" w:cstheme="majorBidi"/>
      <w:color w:val="2F5496" w:themeColor="accent1" w:themeShade="BF"/>
      <w:sz w:val="26"/>
      <w:szCs w:val="26"/>
    </w:rPr>
  </w:style>
  <w:style w:type="paragraph" w:customStyle="1" w:styleId="animate">
    <w:name w:val="animate"/>
    <w:basedOn w:val="Normal"/>
    <w:rsid w:val="00B21257"/>
    <w:pPr>
      <w:spacing w:before="100" w:beforeAutospacing="1" w:after="100" w:afterAutospacing="1"/>
    </w:pPr>
    <w:rPr>
      <w:rFonts w:ascii="Times New Roman" w:eastAsia="Times New Roman" w:hAnsi="Times New Roman" w:cs="Times New Roman"/>
      <w:lang w:eastAsia="pt-BR"/>
    </w:rPr>
  </w:style>
  <w:style w:type="paragraph" w:styleId="Legenda">
    <w:name w:val="caption"/>
    <w:basedOn w:val="Normal"/>
    <w:next w:val="Normal"/>
    <w:qFormat/>
    <w:rsid w:val="007104CC"/>
    <w:rPr>
      <w:rFonts w:ascii="Times New Roman" w:eastAsia="Times New Roman" w:hAnsi="Times New Roman" w:cs="Times New Roman"/>
      <w:b/>
      <w:bCs/>
      <w:sz w:val="20"/>
      <w:szCs w:val="20"/>
      <w:lang w:eastAsia="pt-BR"/>
    </w:rPr>
  </w:style>
  <w:style w:type="paragraph" w:customStyle="1" w:styleId="Padro">
    <w:name w:val="Padrão"/>
    <w:rsid w:val="007104C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Microsoft YaHei" w:eastAsia="Microsoft YaHei" w:hAnsi="Times New Roman" w:cs="Microsoft YaHei"/>
      <w:color w:val="333333"/>
      <w:sz w:val="48"/>
      <w:szCs w:val="48"/>
      <w:lang w:eastAsia="pt-BR"/>
    </w:rPr>
  </w:style>
  <w:style w:type="paragraph" w:styleId="Textodenotaderodap">
    <w:name w:val="footnote text"/>
    <w:basedOn w:val="Normal"/>
    <w:link w:val="TextodenotaderodapChar"/>
    <w:uiPriority w:val="99"/>
    <w:semiHidden/>
    <w:unhideWhenUsed/>
    <w:rsid w:val="00055D20"/>
    <w:rPr>
      <w:sz w:val="20"/>
      <w:szCs w:val="20"/>
    </w:rPr>
  </w:style>
  <w:style w:type="character" w:customStyle="1" w:styleId="TextodenotaderodapChar">
    <w:name w:val="Texto de nota de rodapé Char"/>
    <w:basedOn w:val="Fontepargpadro"/>
    <w:link w:val="Textodenotaderodap"/>
    <w:uiPriority w:val="99"/>
    <w:semiHidden/>
    <w:rsid w:val="00055D20"/>
    <w:rPr>
      <w:sz w:val="20"/>
      <w:szCs w:val="20"/>
    </w:rPr>
  </w:style>
  <w:style w:type="character" w:styleId="Refdenotaderodap">
    <w:name w:val="footnote reference"/>
    <w:basedOn w:val="Fontepargpadro"/>
    <w:uiPriority w:val="99"/>
    <w:semiHidden/>
    <w:unhideWhenUsed/>
    <w:rsid w:val="00055D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6ABE7-77DA-43ED-9779-FFFE15E9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1455</Words>
  <Characters>7860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2023-10-18T11:14:00Z</dcterms:created>
  <dcterms:modified xsi:type="dcterms:W3CDTF">2023-10-21T00:59:00Z</dcterms:modified>
</cp:coreProperties>
</file>