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b/>
          <w:sz w:val="24"/>
          <w:szCs w:val="24"/>
          <w:highlight w:val="white"/>
          <w:lang w:eastAsia="pt-BR"/>
        </w:rPr>
        <w:t>AVALIAÇÕES DA</w:t>
      </w:r>
      <w:r w:rsidRPr="003043AB">
        <w:rPr>
          <w:rFonts w:ascii="Arial" w:eastAsia="Arial" w:hAnsi="Arial" w:cs="Arial"/>
          <w:b/>
          <w:i/>
          <w:sz w:val="24"/>
          <w:szCs w:val="24"/>
          <w:lang w:eastAsia="pt-BR"/>
        </w:rPr>
        <w:t xml:space="preserve"> </w:t>
      </w:r>
      <w:r w:rsidRPr="003043AB">
        <w:rPr>
          <w:rFonts w:ascii="Arial" w:eastAsia="Arial" w:hAnsi="Arial" w:cs="Arial"/>
          <w:b/>
          <w:i/>
          <w:sz w:val="24"/>
          <w:szCs w:val="24"/>
          <w:u w:val="single"/>
          <w:lang w:eastAsia="pt-BR"/>
        </w:rPr>
        <w:t>TRADESCANTIA</w:t>
      </w:r>
      <w:r w:rsidRPr="003043AB">
        <w:rPr>
          <w:rFonts w:ascii="Arial" w:eastAsia="Arial" w:hAnsi="Arial" w:cs="Arial"/>
          <w:b/>
          <w:sz w:val="24"/>
          <w:szCs w:val="24"/>
          <w:lang w:eastAsia="pt-BR"/>
        </w:rPr>
        <w:t xml:space="preserve"> ZEBRINA E DA </w:t>
      </w:r>
      <w:r w:rsidRPr="003043AB">
        <w:rPr>
          <w:rFonts w:ascii="Arial" w:eastAsia="Arial" w:hAnsi="Arial" w:cs="Arial"/>
          <w:b/>
          <w:i/>
          <w:sz w:val="24"/>
          <w:szCs w:val="24"/>
          <w:u w:val="single"/>
          <w:lang w:eastAsia="pt-BR"/>
        </w:rPr>
        <w:t xml:space="preserve">COMMELINA </w:t>
      </w:r>
      <w:proofErr w:type="gramStart"/>
      <w:r w:rsidRPr="003043AB">
        <w:rPr>
          <w:rFonts w:ascii="Arial" w:eastAsia="Arial" w:hAnsi="Arial" w:cs="Arial"/>
          <w:b/>
          <w:i/>
          <w:sz w:val="24"/>
          <w:szCs w:val="24"/>
          <w:lang w:eastAsia="pt-BR"/>
        </w:rPr>
        <w:t>COMMUNIS</w:t>
      </w:r>
      <w:r w:rsidRPr="003043AB">
        <w:rPr>
          <w:rFonts w:ascii="Arial" w:eastAsia="Arial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3043AB">
        <w:rPr>
          <w:rFonts w:ascii="Arial" w:eastAsia="Arial" w:hAnsi="Arial" w:cs="Arial"/>
          <w:b/>
          <w:sz w:val="24"/>
          <w:szCs w:val="24"/>
          <w:highlight w:val="white"/>
          <w:lang w:eastAsia="pt-BR"/>
        </w:rPr>
        <w:t xml:space="preserve"> COMO</w:t>
      </w:r>
      <w:proofErr w:type="gramEnd"/>
      <w:r w:rsidRPr="003043AB">
        <w:rPr>
          <w:rFonts w:ascii="Arial" w:eastAsia="Arial" w:hAnsi="Arial" w:cs="Arial"/>
          <w:b/>
          <w:sz w:val="24"/>
          <w:szCs w:val="24"/>
          <w:highlight w:val="white"/>
          <w:lang w:eastAsia="pt-BR"/>
        </w:rPr>
        <w:t xml:space="preserve"> COBERTURA VEGETAL EM DE ÁREAS DE DISPOSIÇÃO DE REJEITOS E ESTÉRIL</w:t>
      </w:r>
      <w:r w:rsidRPr="003043AB">
        <w:rPr>
          <w:rFonts w:ascii="Arial" w:eastAsia="Arial" w:hAnsi="Arial" w:cs="Arial"/>
          <w:b/>
          <w:sz w:val="24"/>
          <w:szCs w:val="24"/>
          <w:lang w:eastAsia="pt-BR"/>
        </w:rPr>
        <w:t xml:space="preserve"> NA BARRAGEM DE DOUTOR.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3043AB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                                    José Presley de Paiva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3043AB">
        <w:rPr>
          <w:rFonts w:ascii="Arial" w:eastAsia="Arial" w:hAnsi="Arial" w:cs="Arial"/>
          <w:color w:val="000000"/>
          <w:sz w:val="20"/>
          <w:szCs w:val="20"/>
          <w:lang w:eastAsia="pt-BR"/>
        </w:rPr>
        <w:t>Diego Lucas Braga Rafael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3043AB">
        <w:rPr>
          <w:rFonts w:ascii="Arial" w:eastAsia="Arial" w:hAnsi="Arial" w:cs="Arial"/>
          <w:color w:val="000000"/>
          <w:sz w:val="20"/>
          <w:szCs w:val="20"/>
          <w:lang w:eastAsia="pt-BR"/>
        </w:rPr>
        <w:t>Flávio Regis Amaral Santos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3043AB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                                    Lucas de Assis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jc w:val="right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3043AB"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           Centro Universitário UNA - Agronomia, R. Melvin Jones, 90 - Campo               Alegre, Conselheiro Lafaiete - MG, 36400-000. 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0"/>
          <w:szCs w:val="20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0"/>
          <w:szCs w:val="20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0"/>
          <w:szCs w:val="20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sz w:val="20"/>
          <w:szCs w:val="20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b/>
          <w:sz w:val="24"/>
          <w:szCs w:val="24"/>
          <w:lang w:eastAsia="pt-BR"/>
        </w:rPr>
        <w:t>RESUMO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b/>
          <w:sz w:val="24"/>
          <w:szCs w:val="24"/>
          <w:lang w:eastAsia="pt-BR"/>
        </w:rPr>
        <w:tab/>
      </w:r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Este trabalho pretende avaliar o potencial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fitorremediador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das espécies </w:t>
      </w:r>
      <w:proofErr w:type="spellStart"/>
      <w:r w:rsidRPr="003043AB">
        <w:rPr>
          <w:rFonts w:ascii="Arial" w:eastAsia="Arial" w:hAnsi="Arial" w:cs="Arial"/>
          <w:i/>
          <w:sz w:val="24"/>
          <w:szCs w:val="24"/>
          <w:u w:val="single"/>
          <w:lang w:eastAsia="pt-BR"/>
        </w:rPr>
        <w:t>Tradescantia</w:t>
      </w:r>
      <w:proofErr w:type="spellEnd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 xml:space="preserve"> zebrina</w:t>
      </w:r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(Lambari Roxo) e </w:t>
      </w:r>
      <w:proofErr w:type="spellStart"/>
      <w:r w:rsidRPr="003043AB">
        <w:rPr>
          <w:rFonts w:ascii="Arial" w:eastAsia="Arial" w:hAnsi="Arial" w:cs="Arial"/>
          <w:i/>
          <w:sz w:val="24"/>
          <w:szCs w:val="24"/>
          <w:u w:val="single"/>
          <w:lang w:eastAsia="pt-BR"/>
        </w:rPr>
        <w:t>Commelina</w:t>
      </w:r>
      <w:proofErr w:type="spellEnd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 xml:space="preserve"> </w:t>
      </w:r>
      <w:proofErr w:type="spellStart"/>
      <w:proofErr w:type="gramStart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>communi</w:t>
      </w:r>
      <w:r w:rsidRPr="003043AB">
        <w:rPr>
          <w:rFonts w:ascii="Arial" w:eastAsia="Arial" w:hAnsi="Arial" w:cs="Arial"/>
          <w:sz w:val="24"/>
          <w:szCs w:val="24"/>
          <w:lang w:eastAsia="pt-BR"/>
        </w:rPr>
        <w:t>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 (</w:t>
      </w:r>
      <w:proofErr w:type="gram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Erva de Santa Luzia) em barragem de rejeito no Quadrilátero Ferrífero, em Ouro Preto - MG. A metodologia escolhida é a implantação de mudas em uma pequena área da barragem, análises de amostras dos solos, análise foliar das plantas e análise de incidência de doenças. Embora os resultados obtidos tenham sido diferentes do esperado, devido a condições adversas do próprio ambiente, foi possível perceber que essas espécies de plantas tem um potencial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fitorremediador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que traz desafios de manejo, mas boas oportunidades para recuperação de áreas degradadas e como cobertura vegetal para tipos diferentes de solo.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b/>
          <w:sz w:val="24"/>
          <w:szCs w:val="24"/>
          <w:lang w:eastAsia="pt-BR"/>
        </w:rPr>
        <w:t>Palavras-chave</w:t>
      </w:r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: </w:t>
      </w:r>
      <w:proofErr w:type="spellStart"/>
      <w:r w:rsidRPr="003043AB">
        <w:rPr>
          <w:rFonts w:ascii="Arial" w:eastAsia="Arial" w:hAnsi="Arial" w:cs="Arial"/>
          <w:i/>
          <w:sz w:val="24"/>
          <w:szCs w:val="24"/>
          <w:u w:val="single"/>
          <w:lang w:eastAsia="pt-BR"/>
        </w:rPr>
        <w:t>Tradescantia</w:t>
      </w:r>
      <w:proofErr w:type="spellEnd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 xml:space="preserve"> zebrina</w:t>
      </w:r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i/>
          <w:sz w:val="24"/>
          <w:szCs w:val="24"/>
          <w:u w:val="single"/>
          <w:lang w:eastAsia="pt-BR"/>
        </w:rPr>
        <w:t>Commelina</w:t>
      </w:r>
      <w:proofErr w:type="spellEnd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i/>
          <w:sz w:val="24"/>
          <w:szCs w:val="24"/>
          <w:lang w:eastAsia="pt-BR"/>
        </w:rPr>
        <w:t>communis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fitorremediação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>, barragem, mineração.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b/>
          <w:bCs/>
          <w:sz w:val="24"/>
          <w:szCs w:val="24"/>
          <w:lang w:eastAsia="pt-BR"/>
        </w:rPr>
        <w:t>Abstract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sz w:val="24"/>
          <w:szCs w:val="24"/>
          <w:lang w:eastAsia="pt-BR"/>
        </w:rPr>
        <w:tab/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work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aims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to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evaluate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phytore</w:t>
      </w:r>
      <w:bookmarkStart w:id="0" w:name="_GoBack"/>
      <w:bookmarkEnd w:id="0"/>
      <w:r w:rsidRPr="003043AB">
        <w:rPr>
          <w:rFonts w:ascii="Arial" w:eastAsia="Arial" w:hAnsi="Arial" w:cs="Arial"/>
          <w:sz w:val="24"/>
          <w:szCs w:val="24"/>
          <w:lang w:eastAsia="pt-BR"/>
        </w:rPr>
        <w:t>mediation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potential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species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Tradescantia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zebrina (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Purple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Lambari)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Commelina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communis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(Santa Luzia Grass) in a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tailings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dam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in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Iron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Quadrangle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in Ouro Preto - MG. The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methodology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chosen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implantation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seedlings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in a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small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area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dam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analysis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soil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samples, foliar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analysis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plants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analysis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disease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lastRenderedPageBreak/>
        <w:t>incidence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.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Although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results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obtained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were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different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from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what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was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expected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due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to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adverse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conditions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environment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itself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it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was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possible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to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see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that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these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plant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species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have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phytoremediation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potential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that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brings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management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challenges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but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good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opportunities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for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recovering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degraded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areas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and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as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mulch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for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different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types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soil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>.</w:t>
      </w: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3043AB" w:rsidRPr="003043AB" w:rsidRDefault="003043AB" w:rsidP="003043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Keywords: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Tradescantia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zebrina,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Commelina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communis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phytoremediation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 xml:space="preserve">, </w:t>
      </w:r>
      <w:proofErr w:type="spellStart"/>
      <w:r w:rsidRPr="003043AB">
        <w:rPr>
          <w:rFonts w:ascii="Arial" w:eastAsia="Arial" w:hAnsi="Arial" w:cs="Arial"/>
          <w:sz w:val="24"/>
          <w:szCs w:val="24"/>
          <w:lang w:eastAsia="pt-BR"/>
        </w:rPr>
        <w:t>dam</w:t>
      </w:r>
      <w:proofErr w:type="spellEnd"/>
      <w:r w:rsidRPr="003043AB">
        <w:rPr>
          <w:rFonts w:ascii="Arial" w:eastAsia="Arial" w:hAnsi="Arial" w:cs="Arial"/>
          <w:sz w:val="24"/>
          <w:szCs w:val="24"/>
          <w:lang w:eastAsia="pt-BR"/>
        </w:rPr>
        <w:t>, mining.</w:t>
      </w:r>
    </w:p>
    <w:p w:rsidR="002117C0" w:rsidRDefault="003043AB"/>
    <w:sectPr w:rsidR="00211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AB"/>
    <w:rsid w:val="003043AB"/>
    <w:rsid w:val="00802AC5"/>
    <w:rsid w:val="00A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D671-C25B-4225-BF69-0863D1B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rafael</dc:creator>
  <cp:keywords/>
  <dc:description/>
  <cp:lastModifiedBy>diego rafael</cp:lastModifiedBy>
  <cp:revision>1</cp:revision>
  <dcterms:created xsi:type="dcterms:W3CDTF">2023-10-26T22:56:00Z</dcterms:created>
  <dcterms:modified xsi:type="dcterms:W3CDTF">2023-10-26T22:57:00Z</dcterms:modified>
</cp:coreProperties>
</file>