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7AE7F" w14:textId="77777777" w:rsidR="0000310E" w:rsidRDefault="0000310E" w:rsidP="00AD1BC4">
      <w:pPr>
        <w:spacing w:line="360" w:lineRule="auto"/>
        <w:jc w:val="center"/>
        <w:rPr>
          <w:rFonts w:ascii="Times New Roman" w:hAnsi="Times New Roman" w:cs="Times New Roman"/>
          <w:b/>
          <w:bCs/>
        </w:rPr>
      </w:pPr>
    </w:p>
    <w:p w14:paraId="65F33B15" w14:textId="77777777" w:rsidR="0000310E" w:rsidRPr="00882D38" w:rsidRDefault="0000310E" w:rsidP="0000310E">
      <w:pPr>
        <w:spacing w:line="360" w:lineRule="auto"/>
        <w:jc w:val="center"/>
        <w:rPr>
          <w:rFonts w:ascii="Arial" w:hAnsi="Arial" w:cs="Arial"/>
          <w:color w:val="7030A0"/>
        </w:rPr>
      </w:pPr>
      <w:r w:rsidRPr="00882D38">
        <w:rPr>
          <w:rFonts w:ascii="Arial" w:hAnsi="Arial" w:cs="Arial"/>
          <w:color w:val="7030A0"/>
        </w:rPr>
        <w:t xml:space="preserve">II Simpósio de Pesquisa do Ecossistema </w:t>
      </w:r>
      <w:proofErr w:type="spellStart"/>
      <w:r w:rsidRPr="00882D38">
        <w:rPr>
          <w:rFonts w:ascii="Arial" w:hAnsi="Arial" w:cs="Arial"/>
          <w:color w:val="7030A0"/>
        </w:rPr>
        <w:t>Ânima</w:t>
      </w:r>
      <w:proofErr w:type="spellEnd"/>
      <w:r w:rsidRPr="00882D38">
        <w:rPr>
          <w:rFonts w:ascii="Arial" w:hAnsi="Arial" w:cs="Arial"/>
          <w:color w:val="7030A0"/>
        </w:rPr>
        <w:t xml:space="preserve">: </w:t>
      </w:r>
    </w:p>
    <w:p w14:paraId="3F2E780D" w14:textId="1B2DD7F7" w:rsidR="0000310E" w:rsidRDefault="0000310E" w:rsidP="0000310E">
      <w:pPr>
        <w:spacing w:line="360" w:lineRule="auto"/>
        <w:jc w:val="center"/>
        <w:rPr>
          <w:rFonts w:ascii="Arial" w:hAnsi="Arial" w:cs="Arial"/>
          <w:b/>
          <w:bCs/>
          <w:color w:val="7030A0"/>
        </w:rPr>
      </w:pPr>
      <w:r w:rsidRPr="00882D38">
        <w:rPr>
          <w:rFonts w:ascii="Arial" w:hAnsi="Arial" w:cs="Arial"/>
          <w:b/>
          <w:bCs/>
          <w:color w:val="7030A0"/>
        </w:rPr>
        <w:t>Juntos pelo Conhecimento: um novo saber cria um novo amanhã</w:t>
      </w:r>
    </w:p>
    <w:p w14:paraId="48C2CDB6" w14:textId="77777777" w:rsidR="0000310E" w:rsidRPr="00882D38" w:rsidRDefault="0000310E" w:rsidP="0000310E">
      <w:pPr>
        <w:spacing w:line="360" w:lineRule="auto"/>
        <w:jc w:val="center"/>
        <w:rPr>
          <w:rFonts w:ascii="Arial" w:hAnsi="Arial" w:cs="Arial"/>
          <w:b/>
          <w:bCs/>
          <w:color w:val="7030A0"/>
        </w:rPr>
      </w:pPr>
    </w:p>
    <w:p w14:paraId="488859EC" w14:textId="6E6E531F" w:rsidR="00AD1BC4" w:rsidRPr="00AD1BC4" w:rsidRDefault="00AD1BC4" w:rsidP="00AD1BC4">
      <w:pPr>
        <w:spacing w:line="360" w:lineRule="auto"/>
        <w:jc w:val="center"/>
        <w:rPr>
          <w:rFonts w:ascii="Times New Roman" w:hAnsi="Times New Roman" w:cs="Times New Roman"/>
          <w:b/>
          <w:bCs/>
        </w:rPr>
      </w:pPr>
      <w:r w:rsidRPr="00AD1BC4">
        <w:rPr>
          <w:rFonts w:ascii="Times New Roman" w:hAnsi="Times New Roman" w:cs="Times New Roman"/>
          <w:b/>
          <w:bCs/>
        </w:rPr>
        <w:t>ELIMINAÇÃO DE GLIFOSATO DE MORANGO IN NATURA UTILIZANDO A TECNOLOGIA DO PLASMA NÃO TÉRMICO (PNT)</w:t>
      </w:r>
    </w:p>
    <w:p w14:paraId="68C1C0E9" w14:textId="31EE90C5" w:rsidR="007067EF" w:rsidRPr="007067EF" w:rsidRDefault="007067EF" w:rsidP="007067EF">
      <w:pPr>
        <w:spacing w:line="360" w:lineRule="auto"/>
        <w:jc w:val="center"/>
        <w:rPr>
          <w:rFonts w:ascii="Times New Roman" w:hAnsi="Times New Roman" w:cs="Times New Roman"/>
          <w:b/>
          <w:sz w:val="24"/>
          <w:szCs w:val="24"/>
        </w:rPr>
      </w:pPr>
    </w:p>
    <w:p w14:paraId="01F45F16" w14:textId="16827084" w:rsidR="00AD1BC4" w:rsidRDefault="00AD1BC4" w:rsidP="00AD1BC4">
      <w:pPr>
        <w:spacing w:after="0" w:line="240" w:lineRule="auto"/>
        <w:jc w:val="center"/>
        <w:rPr>
          <w:rFonts w:ascii="Times New Roman" w:hAnsi="Times New Roman" w:cs="Times New Roman"/>
          <w:sz w:val="24"/>
          <w:szCs w:val="24"/>
          <w:vertAlign w:val="superscript"/>
        </w:rPr>
      </w:pPr>
      <w:r w:rsidRPr="00AD1BC4">
        <w:rPr>
          <w:rFonts w:ascii="Times New Roman" w:hAnsi="Times New Roman" w:cs="Times New Roman"/>
          <w:sz w:val="24"/>
          <w:szCs w:val="24"/>
        </w:rPr>
        <w:t>Andreza de Souza Alves Rosa</w:t>
      </w:r>
      <w:r w:rsidR="007067EF" w:rsidRPr="00AD1BC4">
        <w:rPr>
          <w:rFonts w:ascii="Times New Roman" w:hAnsi="Times New Roman" w:cs="Times New Roman"/>
          <w:sz w:val="24"/>
          <w:szCs w:val="24"/>
          <w:vertAlign w:val="superscript"/>
        </w:rPr>
        <w:t>1</w:t>
      </w:r>
      <w:r w:rsidR="007067EF" w:rsidRPr="007067EF">
        <w:rPr>
          <w:rFonts w:ascii="Times New Roman" w:hAnsi="Times New Roman" w:cs="Times New Roman"/>
          <w:sz w:val="24"/>
          <w:szCs w:val="24"/>
        </w:rPr>
        <w:t xml:space="preserve">; </w:t>
      </w:r>
      <w:r w:rsidRPr="00AD1BC4">
        <w:rPr>
          <w:rFonts w:ascii="Times New Roman" w:hAnsi="Times New Roman" w:cs="Times New Roman"/>
          <w:sz w:val="24"/>
          <w:szCs w:val="24"/>
        </w:rPr>
        <w:t>Gabriel de Abreu Pinto</w:t>
      </w:r>
      <w:r>
        <w:rPr>
          <w:rFonts w:ascii="Times New Roman" w:hAnsi="Times New Roman" w:cs="Times New Roman"/>
          <w:sz w:val="24"/>
          <w:szCs w:val="24"/>
          <w:vertAlign w:val="superscript"/>
        </w:rPr>
        <w:t>1</w:t>
      </w:r>
      <w:r w:rsidR="007067EF" w:rsidRPr="007067EF">
        <w:rPr>
          <w:rFonts w:ascii="Times New Roman" w:hAnsi="Times New Roman" w:cs="Times New Roman"/>
          <w:sz w:val="24"/>
          <w:szCs w:val="24"/>
        </w:rPr>
        <w:t xml:space="preserve">; </w:t>
      </w:r>
      <w:proofErr w:type="spellStart"/>
      <w:r w:rsidR="007067EF" w:rsidRPr="007067EF">
        <w:rPr>
          <w:rFonts w:ascii="Times New Roman" w:hAnsi="Times New Roman" w:cs="Times New Roman"/>
          <w:sz w:val="24"/>
          <w:szCs w:val="24"/>
        </w:rPr>
        <w:t>Drª</w:t>
      </w:r>
      <w:proofErr w:type="spellEnd"/>
      <w:r w:rsidR="007067EF" w:rsidRPr="007067EF">
        <w:rPr>
          <w:rFonts w:ascii="Times New Roman" w:hAnsi="Times New Roman" w:cs="Times New Roman"/>
          <w:sz w:val="24"/>
          <w:szCs w:val="24"/>
        </w:rPr>
        <w:t xml:space="preserve"> </w:t>
      </w:r>
      <w:r>
        <w:rPr>
          <w:rFonts w:ascii="Times New Roman" w:hAnsi="Times New Roman" w:cs="Times New Roman"/>
          <w:sz w:val="24"/>
          <w:szCs w:val="24"/>
        </w:rPr>
        <w:t>Anelise Leal Vieira Cubas</w:t>
      </w:r>
      <w:r>
        <w:rPr>
          <w:rFonts w:ascii="Times New Roman" w:hAnsi="Times New Roman" w:cs="Times New Roman"/>
          <w:sz w:val="24"/>
          <w:szCs w:val="24"/>
          <w:vertAlign w:val="superscript"/>
        </w:rPr>
        <w:t>2</w:t>
      </w:r>
    </w:p>
    <w:p w14:paraId="52AD4AD5" w14:textId="77777777" w:rsidR="00AD1BC4" w:rsidRDefault="00AD1BC4" w:rsidP="00AD1BC4">
      <w:pPr>
        <w:spacing w:after="0" w:line="240" w:lineRule="auto"/>
        <w:rPr>
          <w:rFonts w:ascii="Times New Roman" w:hAnsi="Times New Roman" w:cs="Times New Roman"/>
          <w:sz w:val="24"/>
          <w:szCs w:val="24"/>
          <w:vertAlign w:val="superscript"/>
        </w:rPr>
      </w:pPr>
    </w:p>
    <w:p w14:paraId="240C244C" w14:textId="252334CC" w:rsidR="00AD1BC4" w:rsidRDefault="00AD1BC4" w:rsidP="00AD1BC4">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1 </w:t>
      </w:r>
      <w:r w:rsidRPr="00AD1BC4">
        <w:rPr>
          <w:rFonts w:ascii="Times New Roman" w:hAnsi="Times New Roman" w:cs="Times New Roman"/>
          <w:sz w:val="24"/>
          <w:szCs w:val="24"/>
        </w:rPr>
        <w:t>Estudantes</w:t>
      </w:r>
    </w:p>
    <w:p w14:paraId="0AEB061C" w14:textId="25485C63" w:rsidR="00AD1BC4" w:rsidRDefault="00AD1BC4" w:rsidP="00AD1BC4">
      <w:pPr>
        <w:spacing w:after="0" w:line="240" w:lineRule="auto"/>
        <w:rPr>
          <w:rFonts w:ascii="Times New Roman" w:hAnsi="Times New Roman" w:cs="Times New Roman"/>
          <w:sz w:val="24"/>
          <w:szCs w:val="24"/>
          <w:vertAlign w:val="superscript"/>
        </w:rPr>
      </w:pPr>
      <w:r w:rsidRPr="00AD1BC4">
        <w:rPr>
          <w:rFonts w:ascii="Times New Roman" w:hAnsi="Times New Roman" w:cs="Times New Roman"/>
          <w:sz w:val="24"/>
          <w:szCs w:val="24"/>
          <w:vertAlign w:val="superscript"/>
        </w:rPr>
        <w:t>2</w:t>
      </w:r>
      <w:r>
        <w:rPr>
          <w:rFonts w:ascii="Times New Roman" w:hAnsi="Times New Roman" w:cs="Times New Roman"/>
          <w:sz w:val="24"/>
          <w:szCs w:val="24"/>
        </w:rPr>
        <w:t xml:space="preserve"> Orientadora</w:t>
      </w:r>
    </w:p>
    <w:p w14:paraId="326D9343" w14:textId="77777777" w:rsidR="00AD1BC4" w:rsidRPr="00AD1BC4" w:rsidRDefault="00AD1BC4" w:rsidP="00AD1BC4">
      <w:pPr>
        <w:spacing w:after="0" w:line="240" w:lineRule="auto"/>
        <w:rPr>
          <w:rFonts w:ascii="Times New Roman" w:hAnsi="Times New Roman" w:cs="Times New Roman"/>
          <w:sz w:val="24"/>
          <w:szCs w:val="24"/>
        </w:rPr>
      </w:pPr>
    </w:p>
    <w:p w14:paraId="32F6B699" w14:textId="77777777" w:rsidR="00AD1BC4" w:rsidRDefault="00AD1BC4" w:rsidP="007067EF">
      <w:pPr>
        <w:spacing w:after="120"/>
        <w:jc w:val="both"/>
        <w:rPr>
          <w:rFonts w:ascii="Times New Roman" w:hAnsi="Times New Roman" w:cs="Times New Roman"/>
          <w:b/>
          <w:sz w:val="24"/>
          <w:szCs w:val="24"/>
        </w:rPr>
      </w:pPr>
    </w:p>
    <w:p w14:paraId="20BE74B3" w14:textId="5D1CBFCB" w:rsidR="007067EF" w:rsidRPr="007067EF" w:rsidRDefault="007067EF" w:rsidP="007067EF">
      <w:pPr>
        <w:spacing w:after="120"/>
        <w:jc w:val="both"/>
        <w:rPr>
          <w:rFonts w:ascii="Times New Roman" w:hAnsi="Times New Roman" w:cs="Times New Roman"/>
          <w:sz w:val="24"/>
          <w:szCs w:val="24"/>
        </w:rPr>
      </w:pPr>
      <w:r w:rsidRPr="007067EF">
        <w:rPr>
          <w:rFonts w:ascii="Times New Roman" w:hAnsi="Times New Roman" w:cs="Times New Roman"/>
          <w:b/>
          <w:sz w:val="24"/>
          <w:szCs w:val="24"/>
        </w:rPr>
        <w:t>RESUMO:</w:t>
      </w:r>
      <w:r w:rsidRPr="007067EF">
        <w:rPr>
          <w:rFonts w:ascii="Times New Roman" w:hAnsi="Times New Roman" w:cs="Times New Roman"/>
          <w:sz w:val="24"/>
          <w:szCs w:val="24"/>
        </w:rPr>
        <w:t xml:space="preserve"> </w:t>
      </w:r>
    </w:p>
    <w:p w14:paraId="35E2CDA3" w14:textId="5BE4E3F4" w:rsidR="007270AC" w:rsidRPr="007067EF" w:rsidRDefault="00F44DB4" w:rsidP="007270AC">
      <w:pPr>
        <w:spacing w:line="240" w:lineRule="auto"/>
        <w:jc w:val="both"/>
        <w:rPr>
          <w:rFonts w:ascii="Times New Roman" w:hAnsi="Times New Roman" w:cs="Times New Roman"/>
          <w:iCs/>
          <w:sz w:val="24"/>
          <w:szCs w:val="24"/>
        </w:rPr>
      </w:pPr>
      <w:r w:rsidRPr="00F44DB4">
        <w:rPr>
          <w:rFonts w:ascii="Times New Roman" w:hAnsi="Times New Roman" w:cs="Times New Roman"/>
          <w:iCs/>
          <w:sz w:val="24"/>
          <w:szCs w:val="24"/>
        </w:rPr>
        <w:t xml:space="preserve">Estudos tem mostrado que a </w:t>
      </w:r>
      <w:r>
        <w:rPr>
          <w:rFonts w:ascii="Times New Roman" w:hAnsi="Times New Roman" w:cs="Times New Roman"/>
          <w:iCs/>
          <w:sz w:val="24"/>
          <w:szCs w:val="24"/>
        </w:rPr>
        <w:t>Água Ativada por plasma (</w:t>
      </w:r>
      <w:r w:rsidRPr="00F44DB4">
        <w:rPr>
          <w:rFonts w:ascii="Times New Roman" w:hAnsi="Times New Roman" w:cs="Times New Roman"/>
          <w:iCs/>
          <w:sz w:val="24"/>
          <w:szCs w:val="24"/>
        </w:rPr>
        <w:t>PAW</w:t>
      </w:r>
      <w:r>
        <w:rPr>
          <w:rFonts w:ascii="Times New Roman" w:hAnsi="Times New Roman" w:cs="Times New Roman"/>
          <w:iCs/>
          <w:sz w:val="24"/>
          <w:szCs w:val="24"/>
        </w:rPr>
        <w:t>)</w:t>
      </w:r>
      <w:r w:rsidRPr="00F44DB4">
        <w:rPr>
          <w:rFonts w:ascii="Times New Roman" w:hAnsi="Times New Roman" w:cs="Times New Roman"/>
          <w:iCs/>
          <w:sz w:val="24"/>
          <w:szCs w:val="24"/>
        </w:rPr>
        <w:t xml:space="preserve"> oferece vantagens </w:t>
      </w:r>
      <w:r w:rsidR="00450E67">
        <w:rPr>
          <w:rFonts w:ascii="Times New Roman" w:hAnsi="Times New Roman" w:cs="Times New Roman"/>
          <w:iCs/>
          <w:sz w:val="24"/>
          <w:szCs w:val="24"/>
        </w:rPr>
        <w:t>para degradação de agrotóxicos de alimentos in natura</w:t>
      </w:r>
      <w:r w:rsidR="00B46873">
        <w:rPr>
          <w:rFonts w:ascii="Times New Roman" w:hAnsi="Times New Roman" w:cs="Times New Roman"/>
          <w:iCs/>
          <w:sz w:val="24"/>
          <w:szCs w:val="24"/>
        </w:rPr>
        <w:t xml:space="preserve">, se destacam benefícios como </w:t>
      </w:r>
      <w:r w:rsidRPr="00F44DB4">
        <w:rPr>
          <w:rFonts w:ascii="Times New Roman" w:hAnsi="Times New Roman" w:cs="Times New Roman"/>
          <w:iCs/>
          <w:sz w:val="24"/>
          <w:szCs w:val="24"/>
        </w:rPr>
        <w:t xml:space="preserve">a sua simples </w:t>
      </w:r>
      <w:r w:rsidR="00B46873">
        <w:rPr>
          <w:rFonts w:ascii="Times New Roman" w:hAnsi="Times New Roman" w:cs="Times New Roman"/>
          <w:iCs/>
          <w:sz w:val="24"/>
          <w:szCs w:val="24"/>
        </w:rPr>
        <w:t>produção</w:t>
      </w:r>
      <w:r w:rsidRPr="00F44DB4">
        <w:rPr>
          <w:rFonts w:ascii="Times New Roman" w:hAnsi="Times New Roman" w:cs="Times New Roman"/>
          <w:iCs/>
          <w:sz w:val="24"/>
          <w:szCs w:val="24"/>
        </w:rPr>
        <w:t xml:space="preserve"> e aplicação, bem como sua aptidão para armazenamento</w:t>
      </w:r>
      <w:r w:rsidR="00450E67">
        <w:rPr>
          <w:rFonts w:ascii="Times New Roman" w:hAnsi="Times New Roman" w:cs="Times New Roman"/>
          <w:iCs/>
          <w:sz w:val="24"/>
          <w:szCs w:val="24"/>
        </w:rPr>
        <w:t xml:space="preserve">, </w:t>
      </w:r>
      <w:r w:rsidR="004F30CD">
        <w:rPr>
          <w:rFonts w:ascii="Times New Roman" w:hAnsi="Times New Roman" w:cs="Times New Roman"/>
          <w:iCs/>
          <w:sz w:val="24"/>
          <w:szCs w:val="24"/>
        </w:rPr>
        <w:t xml:space="preserve">este estudo busca comprovar a eficiência dessa forma de degradação de </w:t>
      </w:r>
      <w:proofErr w:type="gramStart"/>
      <w:r w:rsidR="004F30CD">
        <w:rPr>
          <w:rFonts w:ascii="Times New Roman" w:hAnsi="Times New Roman" w:cs="Times New Roman"/>
          <w:iCs/>
          <w:sz w:val="24"/>
          <w:szCs w:val="24"/>
        </w:rPr>
        <w:t>agrotóxico</w:t>
      </w:r>
      <w:r w:rsidRPr="00F44DB4">
        <w:rPr>
          <w:rFonts w:ascii="Times New Roman" w:hAnsi="Times New Roman" w:cs="Times New Roman"/>
          <w:iCs/>
          <w:sz w:val="24"/>
          <w:szCs w:val="24"/>
        </w:rPr>
        <w:t xml:space="preserve">  d</w:t>
      </w:r>
      <w:r w:rsidR="00B46873">
        <w:rPr>
          <w:rFonts w:ascii="Times New Roman" w:hAnsi="Times New Roman" w:cs="Times New Roman"/>
          <w:iCs/>
          <w:sz w:val="24"/>
          <w:szCs w:val="24"/>
        </w:rPr>
        <w:t>e</w:t>
      </w:r>
      <w:proofErr w:type="gramEnd"/>
      <w:r w:rsidRPr="00F44DB4">
        <w:rPr>
          <w:rFonts w:ascii="Times New Roman" w:hAnsi="Times New Roman" w:cs="Times New Roman"/>
          <w:iCs/>
          <w:sz w:val="24"/>
          <w:szCs w:val="24"/>
        </w:rPr>
        <w:t xml:space="preserve"> morango</w:t>
      </w:r>
      <w:r w:rsidR="00B46873">
        <w:rPr>
          <w:rFonts w:ascii="Times New Roman" w:hAnsi="Times New Roman" w:cs="Times New Roman"/>
          <w:iCs/>
          <w:sz w:val="24"/>
          <w:szCs w:val="24"/>
        </w:rPr>
        <w:t>s</w:t>
      </w:r>
      <w:r w:rsidRPr="00F44DB4">
        <w:rPr>
          <w:rFonts w:ascii="Times New Roman" w:hAnsi="Times New Roman" w:cs="Times New Roman"/>
          <w:iCs/>
          <w:sz w:val="24"/>
          <w:szCs w:val="24"/>
        </w:rPr>
        <w:t xml:space="preserve">. </w:t>
      </w:r>
      <w:r w:rsidR="00DD5EA4" w:rsidRPr="00DD5EA4">
        <w:rPr>
          <w:rFonts w:ascii="Times New Roman" w:hAnsi="Times New Roman" w:cs="Times New Roman"/>
          <w:iCs/>
          <w:sz w:val="24"/>
          <w:szCs w:val="24"/>
        </w:rPr>
        <w:t xml:space="preserve">Durante a investigação, soluções contendo glifosato foram expostas a descarga de plasma não térmico utilizando ar atmosférico como gás </w:t>
      </w:r>
      <w:proofErr w:type="spellStart"/>
      <w:r w:rsidR="00DD5EA4" w:rsidRPr="00DD5EA4">
        <w:rPr>
          <w:rFonts w:ascii="Times New Roman" w:hAnsi="Times New Roman" w:cs="Times New Roman"/>
          <w:iCs/>
          <w:sz w:val="24"/>
          <w:szCs w:val="24"/>
        </w:rPr>
        <w:t>plasmogênico</w:t>
      </w:r>
      <w:proofErr w:type="spellEnd"/>
      <w:r w:rsidR="00DD5EA4" w:rsidRPr="00DD5EA4">
        <w:rPr>
          <w:rFonts w:ascii="Times New Roman" w:hAnsi="Times New Roman" w:cs="Times New Roman"/>
          <w:iCs/>
          <w:sz w:val="24"/>
          <w:szCs w:val="24"/>
        </w:rPr>
        <w:t xml:space="preserve"> em tempos de 5, 15 e 45 min em amostras contendo glifosato. Após o tratamento verificou-se diminuição na concentração de glifosato, que foi derivada principalmente da degradação da molécula nas ligações entre carbono e nitrogênio e carbono e fósforo. Além disso, houve diminuição na condutividade elétrica e pH. </w:t>
      </w:r>
    </w:p>
    <w:p w14:paraId="58F7B26A" w14:textId="6AF97700" w:rsidR="007067EF" w:rsidRPr="00D90FA4" w:rsidRDefault="007067EF" w:rsidP="00D90FA4">
      <w:pPr>
        <w:pStyle w:val="PargrafodaLista"/>
        <w:numPr>
          <w:ilvl w:val="0"/>
          <w:numId w:val="1"/>
        </w:numPr>
        <w:spacing w:after="120"/>
        <w:jc w:val="both"/>
        <w:rPr>
          <w:rFonts w:ascii="Times New Roman" w:hAnsi="Times New Roman" w:cs="Times New Roman"/>
          <w:sz w:val="24"/>
          <w:szCs w:val="24"/>
        </w:rPr>
      </w:pPr>
      <w:r w:rsidRPr="00D90FA4">
        <w:rPr>
          <w:rFonts w:ascii="Times New Roman" w:hAnsi="Times New Roman" w:cs="Times New Roman"/>
          <w:b/>
          <w:sz w:val="24"/>
          <w:szCs w:val="24"/>
        </w:rPr>
        <w:t>INTRODUÇÃO:</w:t>
      </w:r>
      <w:r w:rsidRPr="00D90FA4">
        <w:rPr>
          <w:rFonts w:ascii="Times New Roman" w:hAnsi="Times New Roman" w:cs="Times New Roman"/>
          <w:sz w:val="24"/>
          <w:szCs w:val="24"/>
        </w:rPr>
        <w:t xml:space="preserve"> </w:t>
      </w:r>
    </w:p>
    <w:p w14:paraId="01FC5D76" w14:textId="516B8DE7" w:rsidR="00AD1BC4" w:rsidRPr="00AD1BC4" w:rsidRDefault="00AD1BC4" w:rsidP="00AD1BC4">
      <w:pPr>
        <w:jc w:val="both"/>
        <w:rPr>
          <w:rFonts w:ascii="Times New Roman" w:hAnsi="Times New Roman" w:cs="Times New Roman"/>
          <w:iCs/>
          <w:sz w:val="24"/>
          <w:szCs w:val="24"/>
        </w:rPr>
      </w:pPr>
      <w:r w:rsidRPr="00AD1BC4">
        <w:rPr>
          <w:rFonts w:ascii="Times New Roman" w:hAnsi="Times New Roman" w:cs="Times New Roman"/>
          <w:iCs/>
          <w:sz w:val="24"/>
          <w:szCs w:val="24"/>
        </w:rPr>
        <w:t>O aumento na produção de</w:t>
      </w:r>
      <w:r>
        <w:rPr>
          <w:rFonts w:ascii="Times New Roman" w:hAnsi="Times New Roman" w:cs="Times New Roman"/>
          <w:iCs/>
          <w:sz w:val="24"/>
          <w:szCs w:val="24"/>
        </w:rPr>
        <w:t xml:space="preserve"> </w:t>
      </w:r>
      <w:r w:rsidRPr="00AD1BC4">
        <w:rPr>
          <w:rFonts w:ascii="Times New Roman" w:hAnsi="Times New Roman" w:cs="Times New Roman"/>
          <w:i/>
          <w:iCs/>
          <w:sz w:val="24"/>
          <w:szCs w:val="24"/>
        </w:rPr>
        <w:t>commodities</w:t>
      </w:r>
      <w:r>
        <w:rPr>
          <w:rFonts w:ascii="Times New Roman" w:hAnsi="Times New Roman" w:cs="Times New Roman"/>
          <w:i/>
          <w:iCs/>
          <w:sz w:val="24"/>
          <w:szCs w:val="24"/>
        </w:rPr>
        <w:t xml:space="preserve"> </w:t>
      </w:r>
      <w:r w:rsidRPr="00AD1BC4">
        <w:rPr>
          <w:rFonts w:ascii="Times New Roman" w:hAnsi="Times New Roman" w:cs="Times New Roman"/>
          <w:iCs/>
          <w:sz w:val="24"/>
          <w:szCs w:val="24"/>
        </w:rPr>
        <w:t>agrícolas tem ocorrido, entre outros aspectos, através do uso massivo de agrotóxicos, segundo a</w:t>
      </w:r>
      <w:r>
        <w:rPr>
          <w:rFonts w:ascii="Times New Roman" w:hAnsi="Times New Roman" w:cs="Times New Roman"/>
          <w:iCs/>
          <w:sz w:val="24"/>
          <w:szCs w:val="24"/>
        </w:rPr>
        <w:t xml:space="preserve"> </w:t>
      </w:r>
      <w:proofErr w:type="spellStart"/>
      <w:r w:rsidRPr="00AD1BC4">
        <w:rPr>
          <w:rFonts w:ascii="Times New Roman" w:hAnsi="Times New Roman" w:cs="Times New Roman"/>
          <w:i/>
          <w:iCs/>
          <w:sz w:val="24"/>
          <w:szCs w:val="24"/>
        </w:rPr>
        <w:t>Food</w:t>
      </w:r>
      <w:proofErr w:type="spellEnd"/>
      <w:r w:rsidRPr="00AD1BC4">
        <w:rPr>
          <w:rFonts w:ascii="Times New Roman" w:hAnsi="Times New Roman" w:cs="Times New Roman"/>
          <w:i/>
          <w:iCs/>
          <w:sz w:val="24"/>
          <w:szCs w:val="24"/>
        </w:rPr>
        <w:t xml:space="preserve"> </w:t>
      </w:r>
      <w:proofErr w:type="spellStart"/>
      <w:r w:rsidRPr="00AD1BC4">
        <w:rPr>
          <w:rFonts w:ascii="Times New Roman" w:hAnsi="Times New Roman" w:cs="Times New Roman"/>
          <w:i/>
          <w:iCs/>
          <w:sz w:val="24"/>
          <w:szCs w:val="24"/>
        </w:rPr>
        <w:t>and</w:t>
      </w:r>
      <w:proofErr w:type="spellEnd"/>
      <w:r w:rsidRPr="00AD1BC4">
        <w:rPr>
          <w:rFonts w:ascii="Times New Roman" w:hAnsi="Times New Roman" w:cs="Times New Roman"/>
          <w:i/>
          <w:iCs/>
          <w:sz w:val="24"/>
          <w:szCs w:val="24"/>
        </w:rPr>
        <w:t xml:space="preserve"> </w:t>
      </w:r>
      <w:proofErr w:type="spellStart"/>
      <w:r w:rsidRPr="00AD1BC4">
        <w:rPr>
          <w:rFonts w:ascii="Times New Roman" w:hAnsi="Times New Roman" w:cs="Times New Roman"/>
          <w:i/>
          <w:iCs/>
          <w:sz w:val="24"/>
          <w:szCs w:val="24"/>
        </w:rPr>
        <w:t>Agriculture</w:t>
      </w:r>
      <w:proofErr w:type="spellEnd"/>
      <w:r w:rsidRPr="00AD1BC4">
        <w:rPr>
          <w:rFonts w:ascii="Times New Roman" w:hAnsi="Times New Roman" w:cs="Times New Roman"/>
          <w:i/>
          <w:iCs/>
          <w:sz w:val="24"/>
          <w:szCs w:val="24"/>
        </w:rPr>
        <w:t xml:space="preserve"> </w:t>
      </w:r>
      <w:proofErr w:type="spellStart"/>
      <w:r w:rsidRPr="00AD1BC4">
        <w:rPr>
          <w:rFonts w:ascii="Times New Roman" w:hAnsi="Times New Roman" w:cs="Times New Roman"/>
          <w:i/>
          <w:iCs/>
          <w:sz w:val="24"/>
          <w:szCs w:val="24"/>
        </w:rPr>
        <w:t>Organization</w:t>
      </w:r>
      <w:proofErr w:type="spellEnd"/>
      <w:r w:rsidRPr="00AD1BC4">
        <w:rPr>
          <w:rFonts w:ascii="Times New Roman" w:hAnsi="Times New Roman" w:cs="Times New Roman"/>
          <w:i/>
          <w:iCs/>
          <w:sz w:val="24"/>
          <w:szCs w:val="24"/>
        </w:rPr>
        <w:t xml:space="preserve"> </w:t>
      </w:r>
      <w:proofErr w:type="spellStart"/>
      <w:r w:rsidRPr="00AD1BC4">
        <w:rPr>
          <w:rFonts w:ascii="Times New Roman" w:hAnsi="Times New Roman" w:cs="Times New Roman"/>
          <w:i/>
          <w:iCs/>
          <w:sz w:val="24"/>
          <w:szCs w:val="24"/>
        </w:rPr>
        <w:t>of</w:t>
      </w:r>
      <w:proofErr w:type="spellEnd"/>
      <w:r w:rsidRPr="00AD1BC4">
        <w:rPr>
          <w:rFonts w:ascii="Times New Roman" w:hAnsi="Times New Roman" w:cs="Times New Roman"/>
          <w:i/>
          <w:iCs/>
          <w:sz w:val="24"/>
          <w:szCs w:val="24"/>
        </w:rPr>
        <w:t xml:space="preserve"> </w:t>
      </w:r>
      <w:proofErr w:type="spellStart"/>
      <w:r w:rsidRPr="00AD1BC4">
        <w:rPr>
          <w:rFonts w:ascii="Times New Roman" w:hAnsi="Times New Roman" w:cs="Times New Roman"/>
          <w:i/>
          <w:iCs/>
          <w:sz w:val="24"/>
          <w:szCs w:val="24"/>
        </w:rPr>
        <w:t>the</w:t>
      </w:r>
      <w:proofErr w:type="spellEnd"/>
      <w:r w:rsidRPr="00AD1BC4">
        <w:rPr>
          <w:rFonts w:ascii="Times New Roman" w:hAnsi="Times New Roman" w:cs="Times New Roman"/>
          <w:i/>
          <w:iCs/>
          <w:sz w:val="24"/>
          <w:szCs w:val="24"/>
        </w:rPr>
        <w:t xml:space="preserve"> United</w:t>
      </w:r>
      <w:r>
        <w:rPr>
          <w:rFonts w:ascii="Times New Roman" w:hAnsi="Times New Roman" w:cs="Times New Roman"/>
          <w:i/>
          <w:iCs/>
          <w:sz w:val="24"/>
          <w:szCs w:val="24"/>
        </w:rPr>
        <w:t xml:space="preserve"> </w:t>
      </w:r>
      <w:proofErr w:type="spellStart"/>
      <w:r w:rsidRPr="00AD1BC4">
        <w:rPr>
          <w:rFonts w:ascii="Times New Roman" w:hAnsi="Times New Roman" w:cs="Times New Roman"/>
          <w:iCs/>
          <w:sz w:val="24"/>
          <w:szCs w:val="24"/>
        </w:rPr>
        <w:t>Nations</w:t>
      </w:r>
      <w:proofErr w:type="spellEnd"/>
      <w:r w:rsidRPr="00AD1BC4">
        <w:rPr>
          <w:rFonts w:ascii="Times New Roman" w:hAnsi="Times New Roman" w:cs="Times New Roman"/>
          <w:iCs/>
          <w:sz w:val="24"/>
          <w:szCs w:val="24"/>
        </w:rPr>
        <w:t xml:space="preserve"> (FAO), em 2018 o Brasil foi o maior importador de agrotóxicos do globo, o 3º maior consumidor em volume e o 25º país que mais consumiu agrotóxicos por hectare </w:t>
      </w:r>
      <w:proofErr w:type="gramStart"/>
      <w:r w:rsidRPr="00AD1BC4">
        <w:rPr>
          <w:rFonts w:ascii="Times New Roman" w:hAnsi="Times New Roman" w:cs="Times New Roman"/>
          <w:iCs/>
          <w:sz w:val="24"/>
          <w:szCs w:val="24"/>
        </w:rPr>
        <w:t>plantado(</w:t>
      </w:r>
      <w:r>
        <w:rPr>
          <w:rFonts w:ascii="Times New Roman" w:hAnsi="Times New Roman" w:cs="Times New Roman"/>
          <w:iCs/>
          <w:sz w:val="24"/>
          <w:szCs w:val="24"/>
        </w:rPr>
        <w:t xml:space="preserve"> </w:t>
      </w:r>
      <w:r w:rsidRPr="00AD1BC4">
        <w:rPr>
          <w:rFonts w:ascii="Times New Roman" w:hAnsi="Times New Roman" w:cs="Times New Roman"/>
          <w:iCs/>
          <w:sz w:val="24"/>
          <w:szCs w:val="24"/>
        </w:rPr>
        <w:t>FAO</w:t>
      </w:r>
      <w:proofErr w:type="gramEnd"/>
      <w:r w:rsidRPr="00AD1BC4">
        <w:rPr>
          <w:rFonts w:ascii="Times New Roman" w:hAnsi="Times New Roman" w:cs="Times New Roman"/>
          <w:iCs/>
          <w:sz w:val="24"/>
          <w:szCs w:val="24"/>
        </w:rPr>
        <w:t>, 2021). Seguindo tendência mundial, o ingrediente ativo mais utilizado no país é o glifosato [N-(</w:t>
      </w:r>
      <w:proofErr w:type="spellStart"/>
      <w:r w:rsidRPr="00AD1BC4">
        <w:rPr>
          <w:rFonts w:ascii="Times New Roman" w:hAnsi="Times New Roman" w:cs="Times New Roman"/>
          <w:iCs/>
          <w:sz w:val="24"/>
          <w:szCs w:val="24"/>
        </w:rPr>
        <w:t>fosfonometil</w:t>
      </w:r>
      <w:proofErr w:type="spellEnd"/>
      <w:r w:rsidRPr="00AD1BC4">
        <w:rPr>
          <w:rFonts w:ascii="Times New Roman" w:hAnsi="Times New Roman" w:cs="Times New Roman"/>
          <w:iCs/>
          <w:sz w:val="24"/>
          <w:szCs w:val="24"/>
        </w:rPr>
        <w:t>) glicina], CAS nº 1071-83-6, que é empregado como base na produção de 116 rótulos de agrotóxicos e possui aplicação autorizada em 48 tipos de lavouras</w:t>
      </w:r>
      <w:r>
        <w:rPr>
          <w:rFonts w:ascii="Times New Roman" w:hAnsi="Times New Roman" w:cs="Times New Roman"/>
          <w:iCs/>
          <w:sz w:val="24"/>
          <w:szCs w:val="24"/>
        </w:rPr>
        <w:t xml:space="preserve"> </w:t>
      </w:r>
      <w:r w:rsidRPr="00AD1BC4">
        <w:rPr>
          <w:rFonts w:ascii="Times New Roman" w:hAnsi="Times New Roman" w:cs="Times New Roman"/>
          <w:iCs/>
          <w:sz w:val="24"/>
          <w:szCs w:val="24"/>
        </w:rPr>
        <w:t>(ANVISA, 2021; MAPA, 2021).</w:t>
      </w:r>
    </w:p>
    <w:p w14:paraId="499A202E" w14:textId="77777777" w:rsidR="00AD1BC4" w:rsidRPr="00AD1BC4" w:rsidRDefault="00AD1BC4" w:rsidP="00AD1BC4">
      <w:pPr>
        <w:jc w:val="both"/>
        <w:rPr>
          <w:rFonts w:ascii="Times New Roman" w:hAnsi="Times New Roman" w:cs="Times New Roman"/>
          <w:iCs/>
          <w:sz w:val="24"/>
          <w:szCs w:val="24"/>
        </w:rPr>
      </w:pPr>
      <w:r w:rsidRPr="00AD1BC4">
        <w:rPr>
          <w:rFonts w:ascii="Times New Roman" w:hAnsi="Times New Roman" w:cs="Times New Roman"/>
          <w:iCs/>
          <w:sz w:val="24"/>
          <w:szCs w:val="24"/>
        </w:rPr>
        <w:t xml:space="preserve">O glifosato é um herbicida sistêmico, pós-emergente e não seletivo que faz parte do grupo químico dos aminoácidos </w:t>
      </w:r>
      <w:proofErr w:type="spellStart"/>
      <w:r w:rsidRPr="00AD1BC4">
        <w:rPr>
          <w:rFonts w:ascii="Times New Roman" w:hAnsi="Times New Roman" w:cs="Times New Roman"/>
          <w:iCs/>
          <w:sz w:val="24"/>
          <w:szCs w:val="24"/>
        </w:rPr>
        <w:t>fosfonados</w:t>
      </w:r>
      <w:proofErr w:type="spellEnd"/>
      <w:r w:rsidRPr="00AD1BC4">
        <w:rPr>
          <w:rFonts w:ascii="Times New Roman" w:hAnsi="Times New Roman" w:cs="Times New Roman"/>
          <w:iCs/>
          <w:sz w:val="24"/>
          <w:szCs w:val="24"/>
        </w:rPr>
        <w:t xml:space="preserve"> e como seu precursor, a Glicina, apresenta </w:t>
      </w:r>
      <w:r w:rsidRPr="00AD1BC4">
        <w:rPr>
          <w:rFonts w:ascii="Times New Roman" w:hAnsi="Times New Roman" w:cs="Times New Roman"/>
          <w:iCs/>
          <w:sz w:val="24"/>
          <w:szCs w:val="24"/>
        </w:rPr>
        <w:lastRenderedPageBreak/>
        <w:t xml:space="preserve">comportamento </w:t>
      </w:r>
      <w:proofErr w:type="spellStart"/>
      <w:r w:rsidRPr="00AD1BC4">
        <w:rPr>
          <w:rFonts w:ascii="Times New Roman" w:hAnsi="Times New Roman" w:cs="Times New Roman"/>
          <w:iCs/>
          <w:sz w:val="24"/>
          <w:szCs w:val="24"/>
        </w:rPr>
        <w:t>zwiteriônico</w:t>
      </w:r>
      <w:proofErr w:type="spellEnd"/>
      <w:r w:rsidRPr="00AD1BC4">
        <w:rPr>
          <w:rFonts w:ascii="Times New Roman" w:hAnsi="Times New Roman" w:cs="Times New Roman"/>
          <w:iCs/>
          <w:sz w:val="24"/>
          <w:szCs w:val="24"/>
        </w:rPr>
        <w:t xml:space="preserve">, ou seja, com separação de duas cargas em pH neutro, uma negativa através do grupo </w:t>
      </w:r>
      <w:proofErr w:type="spellStart"/>
      <w:r w:rsidRPr="00AD1BC4">
        <w:rPr>
          <w:rFonts w:ascii="Times New Roman" w:hAnsi="Times New Roman" w:cs="Times New Roman"/>
          <w:iCs/>
          <w:sz w:val="24"/>
          <w:szCs w:val="24"/>
        </w:rPr>
        <w:t>fosfonato</w:t>
      </w:r>
      <w:proofErr w:type="spellEnd"/>
      <w:r w:rsidRPr="00AD1BC4">
        <w:rPr>
          <w:rFonts w:ascii="Times New Roman" w:hAnsi="Times New Roman" w:cs="Times New Roman"/>
          <w:iCs/>
          <w:sz w:val="24"/>
          <w:szCs w:val="24"/>
        </w:rPr>
        <w:t xml:space="preserve"> e outra positiva, através do grupo amino (figura </w:t>
      </w:r>
      <w:proofErr w:type="gramStart"/>
      <w:r w:rsidRPr="00AD1BC4">
        <w:rPr>
          <w:rFonts w:ascii="Times New Roman" w:hAnsi="Times New Roman" w:cs="Times New Roman"/>
          <w:iCs/>
          <w:sz w:val="24"/>
          <w:szCs w:val="24"/>
        </w:rPr>
        <w:t>1)(</w:t>
      </w:r>
      <w:proofErr w:type="gramEnd"/>
      <w:r w:rsidRPr="00AD1BC4">
        <w:rPr>
          <w:rFonts w:ascii="Times New Roman" w:hAnsi="Times New Roman" w:cs="Times New Roman"/>
          <w:iCs/>
          <w:sz w:val="24"/>
          <w:szCs w:val="24"/>
        </w:rPr>
        <w:t>DE AMARANTE JUNIOR et al., 2002). Em 2019 foram aplicadas 620.537,98 toneladas de pesticidas nas lavouras nacionais, das quais o volume de glifosato corresponde a 35,06% do total, ou seja, 217.592,24 toneladas. Entre 2009 e 2019 o consumo de glifosato nas lavouras do país aumentou 83,65</w:t>
      </w:r>
      <w:proofErr w:type="gramStart"/>
      <w:r w:rsidRPr="00AD1BC4">
        <w:rPr>
          <w:rFonts w:ascii="Times New Roman" w:hAnsi="Times New Roman" w:cs="Times New Roman"/>
          <w:iCs/>
          <w:sz w:val="24"/>
          <w:szCs w:val="24"/>
        </w:rPr>
        <w:t>%(</w:t>
      </w:r>
      <w:proofErr w:type="gramEnd"/>
      <w:r w:rsidRPr="00AD1BC4">
        <w:rPr>
          <w:rFonts w:ascii="Times New Roman" w:hAnsi="Times New Roman" w:cs="Times New Roman"/>
          <w:iCs/>
          <w:sz w:val="24"/>
          <w:szCs w:val="24"/>
        </w:rPr>
        <w:t>IBAMA, 2021).</w:t>
      </w:r>
    </w:p>
    <w:p w14:paraId="38D153EA" w14:textId="77777777" w:rsidR="00AD1BC4" w:rsidRPr="00AD1BC4" w:rsidRDefault="00AD1BC4" w:rsidP="00AD1BC4">
      <w:pPr>
        <w:jc w:val="both"/>
        <w:rPr>
          <w:rFonts w:ascii="Times New Roman" w:hAnsi="Times New Roman" w:cs="Times New Roman"/>
          <w:iCs/>
          <w:sz w:val="24"/>
          <w:szCs w:val="24"/>
        </w:rPr>
      </w:pPr>
      <w:r w:rsidRPr="00AD1BC4">
        <w:rPr>
          <w:rFonts w:ascii="Times New Roman" w:hAnsi="Times New Roman" w:cs="Times New Roman"/>
          <w:iCs/>
          <w:sz w:val="24"/>
          <w:szCs w:val="24"/>
        </w:rPr>
        <w:t xml:space="preserve">Estudos apresentados pela </w:t>
      </w:r>
      <w:proofErr w:type="spellStart"/>
      <w:r w:rsidRPr="00AD1BC4">
        <w:rPr>
          <w:rFonts w:ascii="Times New Roman" w:hAnsi="Times New Roman" w:cs="Times New Roman"/>
          <w:iCs/>
          <w:sz w:val="24"/>
          <w:szCs w:val="24"/>
        </w:rPr>
        <w:t>International</w:t>
      </w:r>
      <w:proofErr w:type="spellEnd"/>
      <w:r w:rsidRPr="00AD1BC4">
        <w:rPr>
          <w:rFonts w:ascii="Times New Roman" w:hAnsi="Times New Roman" w:cs="Times New Roman"/>
          <w:iCs/>
          <w:sz w:val="24"/>
          <w:szCs w:val="24"/>
        </w:rPr>
        <w:t xml:space="preserve"> </w:t>
      </w:r>
      <w:proofErr w:type="spellStart"/>
      <w:r w:rsidRPr="00AD1BC4">
        <w:rPr>
          <w:rFonts w:ascii="Times New Roman" w:hAnsi="Times New Roman" w:cs="Times New Roman"/>
          <w:iCs/>
          <w:sz w:val="24"/>
          <w:szCs w:val="24"/>
        </w:rPr>
        <w:t>Agency</w:t>
      </w:r>
      <w:proofErr w:type="spellEnd"/>
      <w:r w:rsidRPr="00AD1BC4">
        <w:rPr>
          <w:rFonts w:ascii="Times New Roman" w:hAnsi="Times New Roman" w:cs="Times New Roman"/>
          <w:iCs/>
          <w:sz w:val="24"/>
          <w:szCs w:val="24"/>
        </w:rPr>
        <w:t xml:space="preserve"> for </w:t>
      </w:r>
      <w:proofErr w:type="spellStart"/>
      <w:r w:rsidRPr="00AD1BC4">
        <w:rPr>
          <w:rFonts w:ascii="Times New Roman" w:hAnsi="Times New Roman" w:cs="Times New Roman"/>
          <w:iCs/>
          <w:sz w:val="24"/>
          <w:szCs w:val="24"/>
        </w:rPr>
        <w:t>Research</w:t>
      </w:r>
      <w:proofErr w:type="spellEnd"/>
      <w:r w:rsidRPr="00AD1BC4">
        <w:rPr>
          <w:rFonts w:ascii="Times New Roman" w:hAnsi="Times New Roman" w:cs="Times New Roman"/>
          <w:iCs/>
          <w:sz w:val="24"/>
          <w:szCs w:val="24"/>
        </w:rPr>
        <w:t xml:space="preserve"> </w:t>
      </w:r>
      <w:proofErr w:type="spellStart"/>
      <w:r w:rsidRPr="00AD1BC4">
        <w:rPr>
          <w:rFonts w:ascii="Times New Roman" w:hAnsi="Times New Roman" w:cs="Times New Roman"/>
          <w:iCs/>
          <w:sz w:val="24"/>
          <w:szCs w:val="24"/>
        </w:rPr>
        <w:t>on</w:t>
      </w:r>
      <w:proofErr w:type="spellEnd"/>
      <w:r w:rsidRPr="00AD1BC4">
        <w:rPr>
          <w:rFonts w:ascii="Times New Roman" w:hAnsi="Times New Roman" w:cs="Times New Roman"/>
          <w:iCs/>
          <w:sz w:val="24"/>
          <w:szCs w:val="24"/>
        </w:rPr>
        <w:t xml:space="preserve"> </w:t>
      </w:r>
      <w:proofErr w:type="spellStart"/>
      <w:r w:rsidRPr="00AD1BC4">
        <w:rPr>
          <w:rFonts w:ascii="Times New Roman" w:hAnsi="Times New Roman" w:cs="Times New Roman"/>
          <w:iCs/>
          <w:sz w:val="24"/>
          <w:szCs w:val="24"/>
        </w:rPr>
        <w:t>Cancer</w:t>
      </w:r>
      <w:proofErr w:type="spellEnd"/>
      <w:r w:rsidRPr="00AD1BC4">
        <w:rPr>
          <w:rFonts w:ascii="Times New Roman" w:hAnsi="Times New Roman" w:cs="Times New Roman"/>
          <w:iCs/>
          <w:sz w:val="24"/>
          <w:szCs w:val="24"/>
        </w:rPr>
        <w:t xml:space="preserve"> (IARC), ligada à Organização Mundial da Saúde (OMS), relacionam a exposição ao glifosato a danos à saúde, ao meio ambiente e o classificam como provável cancerígeno </w:t>
      </w:r>
      <w:proofErr w:type="gramStart"/>
      <w:r w:rsidRPr="00AD1BC4">
        <w:rPr>
          <w:rFonts w:ascii="Times New Roman" w:hAnsi="Times New Roman" w:cs="Times New Roman"/>
          <w:iCs/>
          <w:sz w:val="24"/>
          <w:szCs w:val="24"/>
        </w:rPr>
        <w:t>humano(</w:t>
      </w:r>
      <w:proofErr w:type="gramEnd"/>
      <w:r w:rsidRPr="00AD1BC4">
        <w:rPr>
          <w:rFonts w:ascii="Times New Roman" w:hAnsi="Times New Roman" w:cs="Times New Roman"/>
          <w:iCs/>
          <w:sz w:val="24"/>
          <w:szCs w:val="24"/>
        </w:rPr>
        <w:t>IARC, 2021). Atrelado ao aumento do consumo de pesticidas, os problemas ambientais multiplicam-se. O enorme potencial de contaminação ambiental característico dos agrotóxicos não se restringe às áreas limítrofes às lavouras (MOREIRA et al., 2012). Devido às suas características, os recursos hídricos apresentam grande fragilidade diante do potencial poluidor dos pesticidas (MEKONEN et al., 2016).</w:t>
      </w:r>
    </w:p>
    <w:p w14:paraId="518D0243" w14:textId="77777777" w:rsidR="00AD1BC4" w:rsidRPr="00AD1BC4" w:rsidRDefault="00AD1BC4" w:rsidP="00AD1BC4">
      <w:pPr>
        <w:jc w:val="both"/>
        <w:rPr>
          <w:rFonts w:ascii="Times New Roman" w:hAnsi="Times New Roman" w:cs="Times New Roman"/>
          <w:iCs/>
          <w:sz w:val="24"/>
          <w:szCs w:val="24"/>
        </w:rPr>
      </w:pPr>
      <w:r w:rsidRPr="00AD1BC4">
        <w:rPr>
          <w:rFonts w:ascii="Times New Roman" w:hAnsi="Times New Roman" w:cs="Times New Roman"/>
          <w:iCs/>
          <w:sz w:val="24"/>
          <w:szCs w:val="24"/>
        </w:rPr>
        <w:t xml:space="preserve">Os morangos são frutos que tem comportamento pós-colheita não climatérico e são altamente perecíveis, estudos tem relatado que sua vida útil está entre 1 e 3 dias (I. </w:t>
      </w:r>
      <w:proofErr w:type="spellStart"/>
      <w:r w:rsidRPr="00AD1BC4">
        <w:rPr>
          <w:rFonts w:ascii="Times New Roman" w:hAnsi="Times New Roman" w:cs="Times New Roman"/>
          <w:iCs/>
          <w:sz w:val="24"/>
          <w:szCs w:val="24"/>
        </w:rPr>
        <w:t>Saleh</w:t>
      </w:r>
      <w:proofErr w:type="spellEnd"/>
      <w:r w:rsidRPr="00AD1BC4">
        <w:rPr>
          <w:rFonts w:ascii="Times New Roman" w:hAnsi="Times New Roman" w:cs="Times New Roman"/>
          <w:iCs/>
          <w:sz w:val="24"/>
          <w:szCs w:val="24"/>
        </w:rPr>
        <w:t xml:space="preserve"> &amp; Al-</w:t>
      </w:r>
      <w:proofErr w:type="spellStart"/>
      <w:r w:rsidRPr="00AD1BC4">
        <w:rPr>
          <w:rFonts w:ascii="Times New Roman" w:hAnsi="Times New Roman" w:cs="Times New Roman"/>
          <w:iCs/>
          <w:sz w:val="24"/>
          <w:szCs w:val="24"/>
        </w:rPr>
        <w:t>Thani</w:t>
      </w:r>
      <w:proofErr w:type="spellEnd"/>
      <w:r w:rsidRPr="00AD1BC4">
        <w:rPr>
          <w:rFonts w:ascii="Times New Roman" w:hAnsi="Times New Roman" w:cs="Times New Roman"/>
          <w:iCs/>
          <w:sz w:val="24"/>
          <w:szCs w:val="24"/>
        </w:rPr>
        <w:t>, 2019), perdas por deterioração de morango podem chegar a 40% (</w:t>
      </w:r>
      <w:proofErr w:type="spellStart"/>
      <w:r w:rsidRPr="00AD1BC4">
        <w:rPr>
          <w:rFonts w:ascii="Times New Roman" w:hAnsi="Times New Roman" w:cs="Times New Roman"/>
          <w:iCs/>
          <w:sz w:val="24"/>
          <w:szCs w:val="24"/>
        </w:rPr>
        <w:t>Luksiene</w:t>
      </w:r>
      <w:proofErr w:type="spellEnd"/>
      <w:r w:rsidRPr="00AD1BC4">
        <w:rPr>
          <w:rFonts w:ascii="Times New Roman" w:hAnsi="Times New Roman" w:cs="Times New Roman"/>
          <w:iCs/>
          <w:sz w:val="24"/>
          <w:szCs w:val="24"/>
        </w:rPr>
        <w:t xml:space="preserve">, &amp; </w:t>
      </w:r>
      <w:proofErr w:type="spellStart"/>
      <w:r w:rsidRPr="00AD1BC4">
        <w:rPr>
          <w:rFonts w:ascii="Times New Roman" w:hAnsi="Times New Roman" w:cs="Times New Roman"/>
          <w:iCs/>
          <w:sz w:val="24"/>
          <w:szCs w:val="24"/>
        </w:rPr>
        <w:t>Brovko</w:t>
      </w:r>
      <w:proofErr w:type="spellEnd"/>
      <w:r w:rsidRPr="00AD1BC4">
        <w:rPr>
          <w:rFonts w:ascii="Times New Roman" w:hAnsi="Times New Roman" w:cs="Times New Roman"/>
          <w:iCs/>
          <w:sz w:val="24"/>
          <w:szCs w:val="24"/>
        </w:rPr>
        <w:t xml:space="preserve">, 2013). Seus tecidos muito macios e facilmente danificáveis, possuem elevada suscetibilidade ao ataque de pragas na lavoura e de bactérias e fungos na pós colheita levando não apenas à deterioração visível de amostras frescas, mas também à contaminação de sucos e geleias de morango com níveis de </w:t>
      </w:r>
      <w:proofErr w:type="spellStart"/>
      <w:r w:rsidRPr="00AD1BC4">
        <w:rPr>
          <w:rFonts w:ascii="Times New Roman" w:hAnsi="Times New Roman" w:cs="Times New Roman"/>
          <w:iCs/>
          <w:sz w:val="24"/>
          <w:szCs w:val="24"/>
        </w:rPr>
        <w:t>micotoxinas</w:t>
      </w:r>
      <w:proofErr w:type="spellEnd"/>
      <w:r w:rsidRPr="00AD1BC4">
        <w:rPr>
          <w:rFonts w:ascii="Times New Roman" w:hAnsi="Times New Roman" w:cs="Times New Roman"/>
          <w:iCs/>
          <w:sz w:val="24"/>
          <w:szCs w:val="24"/>
        </w:rPr>
        <w:t xml:space="preserve"> além do permitido (Fernández-Cruz et </w:t>
      </w:r>
      <w:proofErr w:type="gramStart"/>
      <w:r w:rsidRPr="00AD1BC4">
        <w:rPr>
          <w:rFonts w:ascii="Times New Roman" w:hAnsi="Times New Roman" w:cs="Times New Roman"/>
          <w:iCs/>
          <w:sz w:val="24"/>
          <w:szCs w:val="24"/>
        </w:rPr>
        <w:t>al. ,</w:t>
      </w:r>
      <w:proofErr w:type="gramEnd"/>
      <w:r w:rsidRPr="00AD1BC4">
        <w:rPr>
          <w:rFonts w:ascii="Times New Roman" w:hAnsi="Times New Roman" w:cs="Times New Roman"/>
          <w:iCs/>
          <w:sz w:val="24"/>
          <w:szCs w:val="24"/>
        </w:rPr>
        <w:t xml:space="preserve"> 2010). </w:t>
      </w:r>
      <w:proofErr w:type="gramStart"/>
      <w:r w:rsidRPr="00AD1BC4">
        <w:rPr>
          <w:rFonts w:ascii="Times New Roman" w:hAnsi="Times New Roman" w:cs="Times New Roman"/>
          <w:iCs/>
          <w:sz w:val="24"/>
          <w:szCs w:val="24"/>
        </w:rPr>
        <w:t>O ataque por fungos causam</w:t>
      </w:r>
      <w:proofErr w:type="gramEnd"/>
      <w:r w:rsidRPr="00AD1BC4">
        <w:rPr>
          <w:rFonts w:ascii="Times New Roman" w:hAnsi="Times New Roman" w:cs="Times New Roman"/>
          <w:iCs/>
          <w:sz w:val="24"/>
          <w:szCs w:val="24"/>
        </w:rPr>
        <w:t xml:space="preserve"> apodrecimento dos frutos e severas perdas pós-colheita, isto é mais acentuado quando o fruto vem de cultivos orgânicos, o que leva muitos produtores a adotar o cultivo convencional com práticas inadequadas como uso excessivo de agrotóxicos com a justificativa de viabilizar a produção e aumentar o tempo de prateleira pós-colheita (</w:t>
      </w:r>
      <w:proofErr w:type="spellStart"/>
      <w:r w:rsidRPr="00AD1BC4">
        <w:rPr>
          <w:rFonts w:ascii="Times New Roman" w:hAnsi="Times New Roman" w:cs="Times New Roman"/>
          <w:iCs/>
          <w:sz w:val="24"/>
          <w:szCs w:val="24"/>
        </w:rPr>
        <w:t>Feliziani</w:t>
      </w:r>
      <w:proofErr w:type="spellEnd"/>
      <w:r w:rsidRPr="00AD1BC4">
        <w:rPr>
          <w:rFonts w:ascii="Times New Roman" w:hAnsi="Times New Roman" w:cs="Times New Roman"/>
          <w:iCs/>
          <w:sz w:val="24"/>
          <w:szCs w:val="24"/>
        </w:rPr>
        <w:t xml:space="preserve"> &amp; </w:t>
      </w:r>
      <w:proofErr w:type="spellStart"/>
      <w:r w:rsidRPr="00AD1BC4">
        <w:rPr>
          <w:rFonts w:ascii="Times New Roman" w:hAnsi="Times New Roman" w:cs="Times New Roman"/>
          <w:iCs/>
          <w:sz w:val="24"/>
          <w:szCs w:val="24"/>
        </w:rPr>
        <w:t>Romanazzi</w:t>
      </w:r>
      <w:proofErr w:type="spellEnd"/>
      <w:r w:rsidRPr="00AD1BC4">
        <w:rPr>
          <w:rFonts w:ascii="Times New Roman" w:hAnsi="Times New Roman" w:cs="Times New Roman"/>
          <w:iCs/>
          <w:sz w:val="24"/>
          <w:szCs w:val="24"/>
        </w:rPr>
        <w:t>, 2016).</w:t>
      </w:r>
    </w:p>
    <w:p w14:paraId="299C9E68" w14:textId="77777777" w:rsidR="00AD1BC4" w:rsidRPr="00AD1BC4" w:rsidRDefault="00AD1BC4" w:rsidP="00AD1BC4">
      <w:pPr>
        <w:jc w:val="both"/>
        <w:rPr>
          <w:rFonts w:ascii="Times New Roman" w:hAnsi="Times New Roman" w:cs="Times New Roman"/>
          <w:iCs/>
          <w:sz w:val="24"/>
          <w:szCs w:val="24"/>
        </w:rPr>
      </w:pPr>
      <w:r w:rsidRPr="00AD1BC4">
        <w:rPr>
          <w:rFonts w:ascii="Times New Roman" w:hAnsi="Times New Roman" w:cs="Times New Roman"/>
          <w:iCs/>
          <w:sz w:val="24"/>
          <w:szCs w:val="24"/>
        </w:rPr>
        <w:t xml:space="preserve">Atualmente os consumidores tem apresentado certa resistência em consumir produtos com agrotóxicos, e cada vez mais tem sido </w:t>
      </w:r>
      <w:proofErr w:type="gramStart"/>
      <w:r w:rsidRPr="00AD1BC4">
        <w:rPr>
          <w:rFonts w:ascii="Times New Roman" w:hAnsi="Times New Roman" w:cs="Times New Roman"/>
          <w:iCs/>
          <w:sz w:val="24"/>
          <w:szCs w:val="24"/>
        </w:rPr>
        <w:t>desenvolvidas</w:t>
      </w:r>
      <w:proofErr w:type="gramEnd"/>
      <w:r w:rsidRPr="00AD1BC4">
        <w:rPr>
          <w:rFonts w:ascii="Times New Roman" w:hAnsi="Times New Roman" w:cs="Times New Roman"/>
          <w:iCs/>
          <w:sz w:val="24"/>
          <w:szCs w:val="24"/>
        </w:rPr>
        <w:t xml:space="preserve"> técnicas ambientalmente corretas, como o uso de agentes de controle biológico naturais e métodos de controle físico eficientes como controle de atmosfera com ozônio entre outros (I. </w:t>
      </w:r>
      <w:proofErr w:type="spellStart"/>
      <w:r w:rsidRPr="00AD1BC4">
        <w:rPr>
          <w:rFonts w:ascii="Times New Roman" w:hAnsi="Times New Roman" w:cs="Times New Roman"/>
          <w:iCs/>
          <w:sz w:val="24"/>
          <w:szCs w:val="24"/>
        </w:rPr>
        <w:t>Saleh</w:t>
      </w:r>
      <w:proofErr w:type="spellEnd"/>
      <w:r w:rsidRPr="00AD1BC4">
        <w:rPr>
          <w:rFonts w:ascii="Times New Roman" w:hAnsi="Times New Roman" w:cs="Times New Roman"/>
          <w:iCs/>
          <w:sz w:val="24"/>
          <w:szCs w:val="24"/>
        </w:rPr>
        <w:t xml:space="preserve"> &amp; </w:t>
      </w:r>
      <w:proofErr w:type="spellStart"/>
      <w:r w:rsidRPr="00AD1BC4">
        <w:rPr>
          <w:rFonts w:ascii="Times New Roman" w:hAnsi="Times New Roman" w:cs="Times New Roman"/>
          <w:iCs/>
          <w:sz w:val="24"/>
          <w:szCs w:val="24"/>
        </w:rPr>
        <w:t>Goktepe</w:t>
      </w:r>
      <w:proofErr w:type="spellEnd"/>
      <w:r w:rsidRPr="00AD1BC4">
        <w:rPr>
          <w:rFonts w:ascii="Times New Roman" w:hAnsi="Times New Roman" w:cs="Times New Roman"/>
          <w:iCs/>
          <w:sz w:val="24"/>
          <w:szCs w:val="24"/>
        </w:rPr>
        <w:t xml:space="preserve">, 2019, Díaz et al., 2020). Porém para viabilizar o </w:t>
      </w:r>
      <w:proofErr w:type="spellStart"/>
      <w:r w:rsidRPr="00AD1BC4">
        <w:rPr>
          <w:rFonts w:ascii="Times New Roman" w:hAnsi="Times New Roman" w:cs="Times New Roman"/>
          <w:iCs/>
          <w:sz w:val="24"/>
          <w:szCs w:val="24"/>
        </w:rPr>
        <w:t>cultivode</w:t>
      </w:r>
      <w:proofErr w:type="spellEnd"/>
      <w:r w:rsidRPr="00AD1BC4">
        <w:rPr>
          <w:rFonts w:ascii="Times New Roman" w:hAnsi="Times New Roman" w:cs="Times New Roman"/>
          <w:iCs/>
          <w:sz w:val="24"/>
          <w:szCs w:val="24"/>
        </w:rPr>
        <w:t xml:space="preserve"> grandes hectares com menores perdas e em tempo curto, o uso de agrotóxico ainda é a técnica mais utilizada, pois evita o desperdício do alimento na lavoura e prolonga a sua vida de prateleira a custo relativamente baixo (</w:t>
      </w:r>
      <w:proofErr w:type="spellStart"/>
      <w:r w:rsidRPr="00AD1BC4">
        <w:rPr>
          <w:rFonts w:ascii="Times New Roman" w:hAnsi="Times New Roman" w:cs="Times New Roman"/>
          <w:iCs/>
          <w:sz w:val="24"/>
          <w:szCs w:val="24"/>
        </w:rPr>
        <w:t>Garnier</w:t>
      </w:r>
      <w:proofErr w:type="spellEnd"/>
      <w:r w:rsidRPr="00AD1BC4">
        <w:rPr>
          <w:rFonts w:ascii="Times New Roman" w:hAnsi="Times New Roman" w:cs="Times New Roman"/>
          <w:iCs/>
          <w:sz w:val="24"/>
          <w:szCs w:val="24"/>
        </w:rPr>
        <w:t xml:space="preserve"> et. al.2017).</w:t>
      </w:r>
    </w:p>
    <w:p w14:paraId="7875BBFE" w14:textId="017C7625" w:rsidR="00AD1BC4" w:rsidRPr="00AD1BC4" w:rsidRDefault="00AD1BC4" w:rsidP="00AD1BC4">
      <w:pPr>
        <w:jc w:val="both"/>
        <w:rPr>
          <w:rFonts w:ascii="Times New Roman" w:hAnsi="Times New Roman" w:cs="Times New Roman"/>
          <w:iCs/>
          <w:sz w:val="24"/>
          <w:szCs w:val="24"/>
        </w:rPr>
      </w:pPr>
      <w:r w:rsidRPr="00AD1BC4">
        <w:rPr>
          <w:rFonts w:ascii="Times New Roman" w:hAnsi="Times New Roman" w:cs="Times New Roman"/>
          <w:iCs/>
          <w:sz w:val="24"/>
          <w:szCs w:val="24"/>
        </w:rPr>
        <w:t>A tecnologia do plasma frio tem sido testada com sucesso na</w:t>
      </w:r>
      <w:r w:rsidR="009B45C3">
        <w:rPr>
          <w:rFonts w:ascii="Times New Roman" w:hAnsi="Times New Roman" w:cs="Times New Roman"/>
          <w:iCs/>
          <w:sz w:val="24"/>
          <w:szCs w:val="24"/>
        </w:rPr>
        <w:t xml:space="preserve"> </w:t>
      </w:r>
      <w:r w:rsidRPr="00AD1BC4">
        <w:rPr>
          <w:rFonts w:ascii="Times New Roman" w:hAnsi="Times New Roman" w:cs="Times New Roman"/>
          <w:iCs/>
          <w:sz w:val="24"/>
          <w:szCs w:val="24"/>
        </w:rPr>
        <w:t>degradação de agrotóxicos em frutas e vegetais in natura, a</w:t>
      </w:r>
      <w:r w:rsidR="009B45C3">
        <w:rPr>
          <w:rFonts w:ascii="Times New Roman" w:hAnsi="Times New Roman" w:cs="Times New Roman"/>
          <w:iCs/>
          <w:sz w:val="24"/>
          <w:szCs w:val="24"/>
        </w:rPr>
        <w:t xml:space="preserve"> </w:t>
      </w:r>
      <w:r w:rsidRPr="00AD1BC4">
        <w:rPr>
          <w:rFonts w:ascii="Times New Roman" w:hAnsi="Times New Roman" w:cs="Times New Roman"/>
          <w:iCs/>
          <w:sz w:val="24"/>
          <w:szCs w:val="24"/>
        </w:rPr>
        <w:t>maioria dos estudos tem se concentrado em produtos frescos destinados ao consumo cru,</w:t>
      </w:r>
      <w:r w:rsidR="009B45C3">
        <w:rPr>
          <w:rFonts w:ascii="Times New Roman" w:hAnsi="Times New Roman" w:cs="Times New Roman"/>
          <w:iCs/>
          <w:sz w:val="24"/>
          <w:szCs w:val="24"/>
        </w:rPr>
        <w:t xml:space="preserve"> </w:t>
      </w:r>
      <w:r w:rsidRPr="00AD1BC4">
        <w:rPr>
          <w:rFonts w:ascii="Times New Roman" w:hAnsi="Times New Roman" w:cs="Times New Roman"/>
          <w:iCs/>
          <w:sz w:val="24"/>
          <w:szCs w:val="24"/>
        </w:rPr>
        <w:t>como uvas (</w:t>
      </w:r>
      <w:proofErr w:type="spellStart"/>
      <w:r w:rsidRPr="00AD1BC4">
        <w:rPr>
          <w:rFonts w:ascii="Times New Roman" w:hAnsi="Times New Roman" w:cs="Times New Roman"/>
          <w:iCs/>
          <w:sz w:val="24"/>
          <w:szCs w:val="24"/>
        </w:rPr>
        <w:t>Zengh</w:t>
      </w:r>
      <w:proofErr w:type="spellEnd"/>
      <w:r w:rsidRPr="00AD1BC4">
        <w:rPr>
          <w:rFonts w:ascii="Times New Roman" w:hAnsi="Times New Roman" w:cs="Times New Roman"/>
          <w:iCs/>
          <w:sz w:val="24"/>
          <w:szCs w:val="24"/>
        </w:rPr>
        <w:t xml:space="preserve"> et al. 2019), manga (Phan et al. 2018), tangerina (</w:t>
      </w:r>
      <w:proofErr w:type="spellStart"/>
      <w:r w:rsidRPr="00AD1BC4">
        <w:rPr>
          <w:rFonts w:ascii="Times New Roman" w:hAnsi="Times New Roman" w:cs="Times New Roman"/>
          <w:iCs/>
          <w:sz w:val="24"/>
          <w:szCs w:val="24"/>
        </w:rPr>
        <w:t>Sawangrat</w:t>
      </w:r>
      <w:proofErr w:type="spellEnd"/>
      <w:r w:rsidRPr="00AD1BC4">
        <w:rPr>
          <w:rFonts w:ascii="Times New Roman" w:hAnsi="Times New Roman" w:cs="Times New Roman"/>
          <w:iCs/>
          <w:sz w:val="24"/>
          <w:szCs w:val="24"/>
        </w:rPr>
        <w:t xml:space="preserve"> et al. 2019), morango (</w:t>
      </w:r>
      <w:proofErr w:type="spellStart"/>
      <w:r w:rsidRPr="00AD1BC4">
        <w:rPr>
          <w:rFonts w:ascii="Times New Roman" w:hAnsi="Times New Roman" w:cs="Times New Roman"/>
          <w:iCs/>
          <w:sz w:val="24"/>
          <w:szCs w:val="24"/>
        </w:rPr>
        <w:t>Misra</w:t>
      </w:r>
      <w:proofErr w:type="spellEnd"/>
      <w:r w:rsidRPr="00AD1BC4">
        <w:rPr>
          <w:rFonts w:ascii="Times New Roman" w:hAnsi="Times New Roman" w:cs="Times New Roman"/>
          <w:iCs/>
          <w:sz w:val="24"/>
          <w:szCs w:val="24"/>
        </w:rPr>
        <w:t xml:space="preserve"> et al. 2014) entre outros, pois a natureza desses alimentos e a demanda por alimentos in natura e minimamente processados requerem </w:t>
      </w:r>
      <w:r w:rsidRPr="00AD1BC4">
        <w:rPr>
          <w:rFonts w:ascii="Times New Roman" w:hAnsi="Times New Roman" w:cs="Times New Roman"/>
          <w:iCs/>
          <w:sz w:val="24"/>
          <w:szCs w:val="24"/>
        </w:rPr>
        <w:lastRenderedPageBreak/>
        <w:t>tecnologias de tratamento não térmico, que seja eficiente na eliminação do agrotóxico, com o mínimo impacto na qualidade do produto (BAIER ET AL., 2013; PANKAJ ET AL., 2014).</w:t>
      </w:r>
    </w:p>
    <w:p w14:paraId="57B9F2A9" w14:textId="3C79A4F4" w:rsidR="00AD1BC4" w:rsidRPr="00AD1BC4" w:rsidRDefault="00AD1BC4" w:rsidP="00AD1BC4">
      <w:pPr>
        <w:jc w:val="both"/>
        <w:rPr>
          <w:rFonts w:ascii="Times New Roman" w:hAnsi="Times New Roman" w:cs="Times New Roman"/>
          <w:iCs/>
          <w:sz w:val="24"/>
          <w:szCs w:val="24"/>
        </w:rPr>
      </w:pPr>
      <w:r w:rsidRPr="00AD1BC4">
        <w:rPr>
          <w:rFonts w:ascii="Times New Roman" w:hAnsi="Times New Roman" w:cs="Times New Roman"/>
          <w:iCs/>
          <w:sz w:val="24"/>
          <w:szCs w:val="24"/>
        </w:rPr>
        <w:t>Estudos mostram que a tecnologia de plasma não térmico para degradação de agrotóxicos em frutas e vegetais é uma alternativa</w:t>
      </w:r>
      <w:r w:rsidR="00D90FA4">
        <w:rPr>
          <w:rFonts w:ascii="Times New Roman" w:hAnsi="Times New Roman" w:cs="Times New Roman"/>
          <w:iCs/>
          <w:sz w:val="24"/>
          <w:szCs w:val="24"/>
        </w:rPr>
        <w:t xml:space="preserve"> </w:t>
      </w:r>
      <w:r w:rsidRPr="00AD1BC4">
        <w:rPr>
          <w:rFonts w:ascii="Times New Roman" w:hAnsi="Times New Roman" w:cs="Times New Roman"/>
          <w:iCs/>
          <w:sz w:val="24"/>
          <w:szCs w:val="24"/>
        </w:rPr>
        <w:t>eficiente, de baixo custo (baixo consumo de energia) e capaz de aumentar consideravelmente o tempo de prateleira</w:t>
      </w:r>
      <w:r w:rsidR="009B45C3">
        <w:rPr>
          <w:rFonts w:ascii="Times New Roman" w:hAnsi="Times New Roman" w:cs="Times New Roman"/>
          <w:iCs/>
          <w:sz w:val="24"/>
          <w:szCs w:val="24"/>
        </w:rPr>
        <w:t xml:space="preserve"> </w:t>
      </w:r>
      <w:r w:rsidRPr="00AD1BC4">
        <w:rPr>
          <w:rFonts w:ascii="Times New Roman" w:hAnsi="Times New Roman" w:cs="Times New Roman"/>
          <w:iCs/>
          <w:sz w:val="24"/>
          <w:szCs w:val="24"/>
        </w:rPr>
        <w:t>(</w:t>
      </w:r>
      <w:proofErr w:type="spellStart"/>
      <w:r w:rsidRPr="00AD1BC4">
        <w:rPr>
          <w:rFonts w:ascii="Times New Roman" w:hAnsi="Times New Roman" w:cs="Times New Roman"/>
          <w:iCs/>
          <w:sz w:val="24"/>
          <w:szCs w:val="24"/>
        </w:rPr>
        <w:t>Zangh</w:t>
      </w:r>
      <w:proofErr w:type="spellEnd"/>
      <w:r w:rsidRPr="00AD1BC4">
        <w:rPr>
          <w:rFonts w:ascii="Times New Roman" w:hAnsi="Times New Roman" w:cs="Times New Roman"/>
          <w:iCs/>
          <w:sz w:val="24"/>
          <w:szCs w:val="24"/>
        </w:rPr>
        <w:t xml:space="preserve"> et al. 2018</w:t>
      </w:r>
      <w:proofErr w:type="gramStart"/>
      <w:r w:rsidRPr="00AD1BC4">
        <w:rPr>
          <w:rFonts w:ascii="Times New Roman" w:hAnsi="Times New Roman" w:cs="Times New Roman"/>
          <w:iCs/>
          <w:sz w:val="24"/>
          <w:szCs w:val="24"/>
        </w:rPr>
        <w:t>),substituindo</w:t>
      </w:r>
      <w:proofErr w:type="gramEnd"/>
      <w:r w:rsidRPr="00AD1BC4">
        <w:rPr>
          <w:rFonts w:ascii="Times New Roman" w:hAnsi="Times New Roman" w:cs="Times New Roman"/>
          <w:iCs/>
          <w:sz w:val="24"/>
          <w:szCs w:val="24"/>
        </w:rPr>
        <w:t xml:space="preserve"> os</w:t>
      </w:r>
      <w:r w:rsidR="009B45C3">
        <w:rPr>
          <w:rFonts w:ascii="Times New Roman" w:hAnsi="Times New Roman" w:cs="Times New Roman"/>
          <w:iCs/>
          <w:sz w:val="24"/>
          <w:szCs w:val="24"/>
        </w:rPr>
        <w:t xml:space="preserve"> </w:t>
      </w:r>
      <w:proofErr w:type="spellStart"/>
      <w:r w:rsidRPr="00AD1BC4">
        <w:rPr>
          <w:rFonts w:ascii="Times New Roman" w:hAnsi="Times New Roman" w:cs="Times New Roman"/>
          <w:iCs/>
          <w:sz w:val="24"/>
          <w:szCs w:val="24"/>
        </w:rPr>
        <w:t>sanitizantes</w:t>
      </w:r>
      <w:proofErr w:type="spellEnd"/>
      <w:r w:rsidRPr="00AD1BC4">
        <w:rPr>
          <w:rFonts w:ascii="Times New Roman" w:hAnsi="Times New Roman" w:cs="Times New Roman"/>
          <w:iCs/>
          <w:sz w:val="24"/>
          <w:szCs w:val="24"/>
        </w:rPr>
        <w:t xml:space="preserve"> químicos tradicionais amplamente utilizados na indústria de alimentos que vem causando preocupações com a saúde pública quanto ao risco de formação de compostos orgânicos cancerígenos(Meireles et al., 2016).</w:t>
      </w:r>
    </w:p>
    <w:p w14:paraId="5D787A5C" w14:textId="7486175C" w:rsidR="00AD1BC4" w:rsidRPr="00AD1BC4" w:rsidRDefault="009B45C3" w:rsidP="00AD1BC4">
      <w:pPr>
        <w:jc w:val="both"/>
        <w:rPr>
          <w:rFonts w:ascii="Times New Roman" w:hAnsi="Times New Roman" w:cs="Times New Roman"/>
          <w:iCs/>
          <w:sz w:val="24"/>
          <w:szCs w:val="24"/>
        </w:rPr>
      </w:pPr>
      <w:r>
        <w:rPr>
          <w:rFonts w:ascii="Times New Roman" w:hAnsi="Times New Roman" w:cs="Times New Roman"/>
          <w:iCs/>
          <w:sz w:val="24"/>
          <w:szCs w:val="24"/>
        </w:rPr>
        <w:t>A</w:t>
      </w:r>
      <w:r w:rsidR="00AD1BC4" w:rsidRPr="00AD1BC4">
        <w:rPr>
          <w:rFonts w:ascii="Times New Roman" w:hAnsi="Times New Roman" w:cs="Times New Roman"/>
          <w:iCs/>
          <w:sz w:val="24"/>
          <w:szCs w:val="24"/>
        </w:rPr>
        <w:t xml:space="preserve"> forma de degradação de pesticidas de alimentos por plasma que vem sendo usada com sucesso é a aplicação de água ativada por plasma (PAW) em alimentos in natura, estudos mostram a eficiência da degradação de agrotóxicos por PAW em alimentos (</w:t>
      </w:r>
      <w:proofErr w:type="spellStart"/>
      <w:r w:rsidR="00AD1BC4" w:rsidRPr="00AD1BC4">
        <w:rPr>
          <w:rFonts w:ascii="Times New Roman" w:hAnsi="Times New Roman" w:cs="Times New Roman"/>
          <w:iCs/>
          <w:sz w:val="24"/>
          <w:szCs w:val="24"/>
        </w:rPr>
        <w:t>Guo</w:t>
      </w:r>
      <w:proofErr w:type="spellEnd"/>
      <w:r w:rsidR="00AD1BC4" w:rsidRPr="00AD1BC4">
        <w:rPr>
          <w:rFonts w:ascii="Times New Roman" w:hAnsi="Times New Roman" w:cs="Times New Roman"/>
          <w:iCs/>
          <w:sz w:val="24"/>
          <w:szCs w:val="24"/>
        </w:rPr>
        <w:t xml:space="preserve"> et al. 2021). A PAW apresenta propriedades antimicrobianas que persistem por longos períodos de tempo (</w:t>
      </w:r>
      <w:proofErr w:type="spellStart"/>
      <w:r w:rsidR="00AD1BC4" w:rsidRPr="00AD1BC4">
        <w:rPr>
          <w:rFonts w:ascii="Times New Roman" w:hAnsi="Times New Roman" w:cs="Times New Roman"/>
          <w:iCs/>
          <w:sz w:val="24"/>
          <w:szCs w:val="24"/>
        </w:rPr>
        <w:t>Shen</w:t>
      </w:r>
      <w:proofErr w:type="spellEnd"/>
      <w:r w:rsidR="00AD1BC4" w:rsidRPr="00AD1BC4">
        <w:rPr>
          <w:rFonts w:ascii="Times New Roman" w:hAnsi="Times New Roman" w:cs="Times New Roman"/>
          <w:iCs/>
          <w:sz w:val="24"/>
          <w:szCs w:val="24"/>
        </w:rPr>
        <w:t xml:space="preserve"> et al., 2016), apresenta compostos de ROS e RNS, incluindo radicais hidroxila, oxigênio </w:t>
      </w:r>
      <w:proofErr w:type="spellStart"/>
      <w:r w:rsidR="00AD1BC4" w:rsidRPr="00AD1BC4">
        <w:rPr>
          <w:rFonts w:ascii="Times New Roman" w:hAnsi="Times New Roman" w:cs="Times New Roman"/>
          <w:iCs/>
          <w:sz w:val="24"/>
          <w:szCs w:val="24"/>
        </w:rPr>
        <w:t>singlete</w:t>
      </w:r>
      <w:proofErr w:type="spellEnd"/>
      <w:r w:rsidR="00AD1BC4" w:rsidRPr="00AD1BC4">
        <w:rPr>
          <w:rFonts w:ascii="Times New Roman" w:hAnsi="Times New Roman" w:cs="Times New Roman"/>
          <w:iCs/>
          <w:sz w:val="24"/>
          <w:szCs w:val="24"/>
        </w:rPr>
        <w:t>, ânion superóxido, peróxido de hidrogênio, bem como óxido nítrico e seus derivados (</w:t>
      </w:r>
      <w:proofErr w:type="spellStart"/>
      <w:r w:rsidR="00AD1BC4" w:rsidRPr="00AD1BC4">
        <w:rPr>
          <w:rFonts w:ascii="Times New Roman" w:hAnsi="Times New Roman" w:cs="Times New Roman"/>
          <w:iCs/>
          <w:sz w:val="24"/>
          <w:szCs w:val="24"/>
        </w:rPr>
        <w:t>Shen</w:t>
      </w:r>
      <w:proofErr w:type="spellEnd"/>
      <w:r w:rsidR="00AD1BC4" w:rsidRPr="00AD1BC4">
        <w:rPr>
          <w:rFonts w:ascii="Times New Roman" w:hAnsi="Times New Roman" w:cs="Times New Roman"/>
          <w:iCs/>
          <w:sz w:val="24"/>
          <w:szCs w:val="24"/>
        </w:rPr>
        <w:t xml:space="preserve"> et al., 2016, Khan e Kim, 2019, </w:t>
      </w:r>
      <w:proofErr w:type="spellStart"/>
      <w:r w:rsidR="00AD1BC4" w:rsidRPr="00AD1BC4">
        <w:rPr>
          <w:rFonts w:ascii="Times New Roman" w:hAnsi="Times New Roman" w:cs="Times New Roman"/>
          <w:iCs/>
          <w:sz w:val="24"/>
          <w:szCs w:val="24"/>
        </w:rPr>
        <w:t>Tarabova</w:t>
      </w:r>
      <w:proofErr w:type="spellEnd"/>
      <w:r w:rsidR="00AD1BC4" w:rsidRPr="00AD1BC4">
        <w:rPr>
          <w:rFonts w:ascii="Times New Roman" w:hAnsi="Times New Roman" w:cs="Times New Roman"/>
          <w:iCs/>
          <w:sz w:val="24"/>
          <w:szCs w:val="24"/>
        </w:rPr>
        <w:t xml:space="preserve"> et al., 2019, </w:t>
      </w:r>
      <w:proofErr w:type="spellStart"/>
      <w:r w:rsidR="00AD1BC4" w:rsidRPr="00AD1BC4">
        <w:rPr>
          <w:rFonts w:ascii="Times New Roman" w:hAnsi="Times New Roman" w:cs="Times New Roman"/>
          <w:iCs/>
          <w:sz w:val="24"/>
          <w:szCs w:val="24"/>
        </w:rPr>
        <w:t>Xiang</w:t>
      </w:r>
      <w:proofErr w:type="spellEnd"/>
      <w:r w:rsidR="00AD1BC4" w:rsidRPr="00AD1BC4">
        <w:rPr>
          <w:rFonts w:ascii="Times New Roman" w:hAnsi="Times New Roman" w:cs="Times New Roman"/>
          <w:iCs/>
          <w:sz w:val="24"/>
          <w:szCs w:val="24"/>
        </w:rPr>
        <w:t xml:space="preserve"> et al., 2020). Também foi verificado aumento da condutividade elétrica e potencial de oxidação-redução, e reduz seu pH, para valores próximos de 3 (</w:t>
      </w:r>
      <w:proofErr w:type="spellStart"/>
      <w:r w:rsidR="00AD1BC4" w:rsidRPr="00AD1BC4">
        <w:rPr>
          <w:rFonts w:ascii="Times New Roman" w:hAnsi="Times New Roman" w:cs="Times New Roman"/>
          <w:iCs/>
          <w:sz w:val="24"/>
          <w:szCs w:val="24"/>
        </w:rPr>
        <w:t>Ma</w:t>
      </w:r>
      <w:proofErr w:type="spellEnd"/>
      <w:r w:rsidR="00AD1BC4" w:rsidRPr="00AD1BC4">
        <w:rPr>
          <w:rFonts w:ascii="Times New Roman" w:hAnsi="Times New Roman" w:cs="Times New Roman"/>
          <w:iCs/>
          <w:sz w:val="24"/>
          <w:szCs w:val="24"/>
        </w:rPr>
        <w:t xml:space="preserve"> et al., 2015, </w:t>
      </w:r>
      <w:proofErr w:type="spellStart"/>
      <w:r w:rsidR="00AD1BC4" w:rsidRPr="00AD1BC4">
        <w:rPr>
          <w:rFonts w:ascii="Times New Roman" w:hAnsi="Times New Roman" w:cs="Times New Roman"/>
          <w:iCs/>
          <w:sz w:val="24"/>
          <w:szCs w:val="24"/>
        </w:rPr>
        <w:t>Guo</w:t>
      </w:r>
      <w:proofErr w:type="spellEnd"/>
      <w:r w:rsidR="00AD1BC4" w:rsidRPr="00AD1BC4">
        <w:rPr>
          <w:rFonts w:ascii="Times New Roman" w:hAnsi="Times New Roman" w:cs="Times New Roman"/>
          <w:iCs/>
          <w:sz w:val="24"/>
          <w:szCs w:val="24"/>
        </w:rPr>
        <w:t xml:space="preserve"> et </w:t>
      </w:r>
      <w:proofErr w:type="gramStart"/>
      <w:r w:rsidR="00AD1BC4" w:rsidRPr="00AD1BC4">
        <w:rPr>
          <w:rFonts w:ascii="Times New Roman" w:hAnsi="Times New Roman" w:cs="Times New Roman"/>
          <w:iCs/>
          <w:sz w:val="24"/>
          <w:szCs w:val="24"/>
        </w:rPr>
        <w:t>al. ,</w:t>
      </w:r>
      <w:proofErr w:type="gramEnd"/>
      <w:r w:rsidR="00AD1BC4" w:rsidRPr="00AD1BC4">
        <w:rPr>
          <w:rFonts w:ascii="Times New Roman" w:hAnsi="Times New Roman" w:cs="Times New Roman"/>
          <w:iCs/>
          <w:sz w:val="24"/>
          <w:szCs w:val="24"/>
        </w:rPr>
        <w:t xml:space="preserve"> 2017, </w:t>
      </w:r>
      <w:proofErr w:type="spellStart"/>
      <w:r w:rsidR="00AD1BC4" w:rsidRPr="00AD1BC4">
        <w:rPr>
          <w:rFonts w:ascii="Times New Roman" w:hAnsi="Times New Roman" w:cs="Times New Roman"/>
          <w:iCs/>
          <w:sz w:val="24"/>
          <w:szCs w:val="24"/>
        </w:rPr>
        <w:t>Joshi</w:t>
      </w:r>
      <w:proofErr w:type="spellEnd"/>
      <w:r w:rsidR="00AD1BC4" w:rsidRPr="00AD1BC4">
        <w:rPr>
          <w:rFonts w:ascii="Times New Roman" w:hAnsi="Times New Roman" w:cs="Times New Roman"/>
          <w:iCs/>
          <w:sz w:val="24"/>
          <w:szCs w:val="24"/>
        </w:rPr>
        <w:t xml:space="preserve"> et al., 2018, </w:t>
      </w:r>
      <w:proofErr w:type="spellStart"/>
      <w:r w:rsidR="00AD1BC4" w:rsidRPr="00AD1BC4">
        <w:rPr>
          <w:rFonts w:ascii="Times New Roman" w:hAnsi="Times New Roman" w:cs="Times New Roman"/>
          <w:iCs/>
          <w:sz w:val="24"/>
          <w:szCs w:val="24"/>
        </w:rPr>
        <w:t>Qian</w:t>
      </w:r>
      <w:proofErr w:type="spellEnd"/>
      <w:r w:rsidR="00AD1BC4" w:rsidRPr="00AD1BC4">
        <w:rPr>
          <w:rFonts w:ascii="Times New Roman" w:hAnsi="Times New Roman" w:cs="Times New Roman"/>
          <w:iCs/>
          <w:sz w:val="24"/>
          <w:szCs w:val="24"/>
        </w:rPr>
        <w:t xml:space="preserve"> et al., 2019, </w:t>
      </w:r>
      <w:proofErr w:type="spellStart"/>
      <w:r w:rsidR="00AD1BC4" w:rsidRPr="00AD1BC4">
        <w:rPr>
          <w:rFonts w:ascii="Times New Roman" w:hAnsi="Times New Roman" w:cs="Times New Roman"/>
          <w:iCs/>
          <w:sz w:val="24"/>
          <w:szCs w:val="24"/>
        </w:rPr>
        <w:t>Frías</w:t>
      </w:r>
      <w:proofErr w:type="spellEnd"/>
      <w:r w:rsidR="00AD1BC4" w:rsidRPr="00AD1BC4">
        <w:rPr>
          <w:rFonts w:ascii="Times New Roman" w:hAnsi="Times New Roman" w:cs="Times New Roman"/>
          <w:iCs/>
          <w:sz w:val="24"/>
          <w:szCs w:val="24"/>
        </w:rPr>
        <w:t xml:space="preserve"> et al., 2020,).</w:t>
      </w:r>
    </w:p>
    <w:p w14:paraId="71FAF64F" w14:textId="71F3160D" w:rsidR="00AD1BC4" w:rsidRPr="00AD1BC4" w:rsidRDefault="00AD1BC4" w:rsidP="00AD1BC4">
      <w:pPr>
        <w:jc w:val="both"/>
        <w:rPr>
          <w:rFonts w:ascii="Times New Roman" w:hAnsi="Times New Roman" w:cs="Times New Roman"/>
          <w:iCs/>
          <w:sz w:val="24"/>
          <w:szCs w:val="24"/>
        </w:rPr>
      </w:pPr>
      <w:r w:rsidRPr="00AD1BC4">
        <w:rPr>
          <w:rFonts w:ascii="Times New Roman" w:hAnsi="Times New Roman" w:cs="Times New Roman"/>
          <w:iCs/>
          <w:sz w:val="24"/>
          <w:szCs w:val="24"/>
        </w:rPr>
        <w:t xml:space="preserve">Nesse estudo pretendemos </w:t>
      </w:r>
      <w:r w:rsidR="009B45C3">
        <w:rPr>
          <w:rFonts w:ascii="Times New Roman" w:hAnsi="Times New Roman" w:cs="Times New Roman"/>
          <w:iCs/>
          <w:sz w:val="24"/>
          <w:szCs w:val="24"/>
        </w:rPr>
        <w:t xml:space="preserve">mostrar a eficiência da degradação </w:t>
      </w:r>
      <w:proofErr w:type="gramStart"/>
      <w:r w:rsidR="009B45C3">
        <w:rPr>
          <w:rFonts w:ascii="Times New Roman" w:hAnsi="Times New Roman" w:cs="Times New Roman"/>
          <w:iCs/>
          <w:sz w:val="24"/>
          <w:szCs w:val="24"/>
        </w:rPr>
        <w:t xml:space="preserve">de </w:t>
      </w:r>
      <w:r w:rsidRPr="00AD1BC4">
        <w:rPr>
          <w:rFonts w:ascii="Times New Roman" w:hAnsi="Times New Roman" w:cs="Times New Roman"/>
          <w:iCs/>
          <w:sz w:val="24"/>
          <w:szCs w:val="24"/>
        </w:rPr>
        <w:t xml:space="preserve"> do</w:t>
      </w:r>
      <w:proofErr w:type="gramEnd"/>
      <w:r w:rsidRPr="00AD1BC4">
        <w:rPr>
          <w:rFonts w:ascii="Times New Roman" w:hAnsi="Times New Roman" w:cs="Times New Roman"/>
          <w:iCs/>
          <w:sz w:val="24"/>
          <w:szCs w:val="24"/>
        </w:rPr>
        <w:t xml:space="preserve"> agrotóxico glifosato de amostras de morango in natura por plasma não térmico, utilizando </w:t>
      </w:r>
      <w:r w:rsidR="00C1780E">
        <w:rPr>
          <w:rFonts w:ascii="Times New Roman" w:hAnsi="Times New Roman" w:cs="Times New Roman"/>
          <w:iCs/>
          <w:sz w:val="24"/>
          <w:szCs w:val="24"/>
        </w:rPr>
        <w:t>a PAW</w:t>
      </w:r>
      <w:r w:rsidRPr="00AD1BC4">
        <w:rPr>
          <w:rFonts w:ascii="Times New Roman" w:hAnsi="Times New Roman" w:cs="Times New Roman"/>
          <w:iCs/>
          <w:sz w:val="24"/>
          <w:szCs w:val="24"/>
        </w:rPr>
        <w:t>.</w:t>
      </w:r>
    </w:p>
    <w:p w14:paraId="13449EF9" w14:textId="77777777" w:rsidR="00C14AE6" w:rsidRPr="001643B9" w:rsidRDefault="00C14AE6" w:rsidP="007067EF">
      <w:pPr>
        <w:jc w:val="both"/>
        <w:rPr>
          <w:rFonts w:ascii="Times New Roman" w:hAnsi="Times New Roman" w:cs="Times New Roman"/>
          <w:iCs/>
          <w:sz w:val="18"/>
          <w:szCs w:val="18"/>
        </w:rPr>
      </w:pPr>
    </w:p>
    <w:p w14:paraId="4A9378FE" w14:textId="77777777" w:rsidR="007067EF" w:rsidRPr="007067EF" w:rsidRDefault="007067EF" w:rsidP="007067EF">
      <w:pPr>
        <w:jc w:val="both"/>
        <w:rPr>
          <w:rFonts w:ascii="Times New Roman" w:hAnsi="Times New Roman" w:cs="Times New Roman"/>
          <w:sz w:val="24"/>
          <w:szCs w:val="24"/>
        </w:rPr>
      </w:pPr>
      <w:r w:rsidRPr="007067EF">
        <w:rPr>
          <w:rFonts w:ascii="Times New Roman" w:hAnsi="Times New Roman" w:cs="Times New Roman"/>
          <w:b/>
          <w:sz w:val="24"/>
          <w:szCs w:val="24"/>
        </w:rPr>
        <w:t>PALAVRAS-CHAVE:</w:t>
      </w:r>
      <w:r w:rsidRPr="007067EF">
        <w:rPr>
          <w:rFonts w:ascii="Times New Roman" w:hAnsi="Times New Roman" w:cs="Times New Roman"/>
          <w:sz w:val="24"/>
          <w:szCs w:val="24"/>
        </w:rPr>
        <w:t xml:space="preserve"> </w:t>
      </w:r>
    </w:p>
    <w:p w14:paraId="45F24013" w14:textId="405914CC" w:rsidR="00D90FA4" w:rsidRDefault="00B46873" w:rsidP="00D90FA4">
      <w:pPr>
        <w:jc w:val="both"/>
        <w:rPr>
          <w:rFonts w:ascii="Times New Roman" w:hAnsi="Times New Roman" w:cs="Times New Roman"/>
          <w:sz w:val="24"/>
          <w:szCs w:val="24"/>
        </w:rPr>
      </w:pPr>
      <w:r w:rsidRPr="007067EF">
        <w:rPr>
          <w:rFonts w:ascii="Times New Roman" w:hAnsi="Times New Roman" w:cs="Times New Roman"/>
          <w:sz w:val="24"/>
          <w:szCs w:val="24"/>
        </w:rPr>
        <w:t>P</w:t>
      </w:r>
      <w:r w:rsidR="007067EF" w:rsidRPr="007067EF">
        <w:rPr>
          <w:rFonts w:ascii="Times New Roman" w:hAnsi="Times New Roman" w:cs="Times New Roman"/>
          <w:sz w:val="24"/>
          <w:szCs w:val="24"/>
        </w:rPr>
        <w:t>lasma</w:t>
      </w:r>
      <w:r>
        <w:rPr>
          <w:rFonts w:ascii="Times New Roman" w:hAnsi="Times New Roman" w:cs="Times New Roman"/>
          <w:sz w:val="24"/>
          <w:szCs w:val="24"/>
        </w:rPr>
        <w:t xml:space="preserve"> não térmico, </w:t>
      </w:r>
      <w:r w:rsidR="00B567B1">
        <w:rPr>
          <w:rFonts w:ascii="Times New Roman" w:hAnsi="Times New Roman" w:cs="Times New Roman"/>
          <w:sz w:val="24"/>
          <w:szCs w:val="24"/>
        </w:rPr>
        <w:t xml:space="preserve">agrotóxicos, </w:t>
      </w:r>
      <w:r w:rsidR="003C0F0F">
        <w:rPr>
          <w:rFonts w:ascii="Times New Roman" w:hAnsi="Times New Roman" w:cs="Times New Roman"/>
          <w:sz w:val="24"/>
          <w:szCs w:val="24"/>
        </w:rPr>
        <w:t>morangos</w:t>
      </w:r>
      <w:r w:rsidR="007067EF" w:rsidRPr="007067EF">
        <w:rPr>
          <w:rFonts w:ascii="Times New Roman" w:hAnsi="Times New Roman" w:cs="Times New Roman"/>
          <w:sz w:val="24"/>
          <w:szCs w:val="24"/>
        </w:rPr>
        <w:t>.</w:t>
      </w:r>
    </w:p>
    <w:p w14:paraId="3647B51A" w14:textId="77777777" w:rsidR="00D90FA4" w:rsidRDefault="00D90FA4" w:rsidP="00D90FA4">
      <w:pPr>
        <w:jc w:val="both"/>
        <w:rPr>
          <w:rFonts w:ascii="Times New Roman" w:hAnsi="Times New Roman" w:cs="Times New Roman"/>
          <w:sz w:val="24"/>
          <w:szCs w:val="24"/>
        </w:rPr>
      </w:pPr>
    </w:p>
    <w:p w14:paraId="10B8FE07" w14:textId="7CB219EF" w:rsidR="007067EF" w:rsidRPr="00D90FA4" w:rsidRDefault="007067EF" w:rsidP="00D90FA4">
      <w:pPr>
        <w:pStyle w:val="PargrafodaLista"/>
        <w:numPr>
          <w:ilvl w:val="0"/>
          <w:numId w:val="1"/>
        </w:numPr>
        <w:jc w:val="both"/>
        <w:rPr>
          <w:rFonts w:ascii="Times New Roman" w:hAnsi="Times New Roman" w:cs="Times New Roman"/>
          <w:sz w:val="24"/>
          <w:szCs w:val="24"/>
        </w:rPr>
      </w:pPr>
      <w:r w:rsidRPr="00D90FA4">
        <w:rPr>
          <w:rFonts w:ascii="Times New Roman" w:hAnsi="Times New Roman" w:cs="Times New Roman"/>
          <w:b/>
          <w:sz w:val="24"/>
          <w:szCs w:val="24"/>
        </w:rPr>
        <w:t>MÉTODO:</w:t>
      </w:r>
      <w:r w:rsidRPr="00D90FA4">
        <w:rPr>
          <w:rFonts w:ascii="Times New Roman" w:hAnsi="Times New Roman" w:cs="Times New Roman"/>
          <w:sz w:val="24"/>
          <w:szCs w:val="24"/>
        </w:rPr>
        <w:t xml:space="preserve"> </w:t>
      </w:r>
    </w:p>
    <w:p w14:paraId="1EA788E2" w14:textId="77FB6468" w:rsidR="00D90FA4" w:rsidRPr="00D90FA4" w:rsidRDefault="00D90FA4" w:rsidP="00D90FA4">
      <w:pPr>
        <w:tabs>
          <w:tab w:val="left" w:pos="426"/>
        </w:tabs>
        <w:rPr>
          <w:rFonts w:ascii="Times New Roman" w:hAnsi="Times New Roman" w:cs="Times New Roman"/>
          <w:iCs/>
          <w:sz w:val="24"/>
          <w:szCs w:val="24"/>
        </w:rPr>
      </w:pPr>
      <w:r>
        <w:rPr>
          <w:rFonts w:ascii="Times New Roman" w:hAnsi="Times New Roman" w:cs="Times New Roman"/>
          <w:b/>
          <w:bCs/>
          <w:iCs/>
          <w:sz w:val="24"/>
          <w:szCs w:val="24"/>
        </w:rPr>
        <w:tab/>
      </w:r>
      <w:r w:rsidRPr="00D90FA4">
        <w:rPr>
          <w:rFonts w:ascii="Times New Roman" w:hAnsi="Times New Roman" w:cs="Times New Roman"/>
          <w:iCs/>
          <w:sz w:val="24"/>
          <w:szCs w:val="24"/>
        </w:rPr>
        <w:t>O tipo de estudo adotado nesta pesquisa é do tipo experimental/exploratório pois envolve experimentos em bancada e a observação dos efeitos da aplicação do plasma não térmico em amostras de alimentos contaminados com glifosato. Os ensaios serão realizados no Laboratório de Microbiologia e no Laboratório em Plasma da Universidade do Sul da Santa Catarina, campus Pedra Branca.</w:t>
      </w:r>
    </w:p>
    <w:p w14:paraId="1C3AFD8D" w14:textId="4A22C6CA" w:rsidR="00D90FA4" w:rsidRPr="00D90FA4" w:rsidRDefault="00D90FA4" w:rsidP="00D90FA4">
      <w:pPr>
        <w:rPr>
          <w:rFonts w:ascii="Times New Roman" w:hAnsi="Times New Roman" w:cs="Times New Roman"/>
          <w:iCs/>
          <w:sz w:val="24"/>
          <w:szCs w:val="24"/>
        </w:rPr>
      </w:pPr>
      <w:r>
        <w:rPr>
          <w:rFonts w:ascii="Times New Roman" w:hAnsi="Times New Roman" w:cs="Times New Roman"/>
          <w:b/>
          <w:bCs/>
          <w:iCs/>
          <w:sz w:val="24"/>
          <w:szCs w:val="24"/>
        </w:rPr>
        <w:t>2</w:t>
      </w:r>
      <w:r w:rsidRPr="00D90FA4">
        <w:rPr>
          <w:rFonts w:ascii="Times New Roman" w:hAnsi="Times New Roman" w:cs="Times New Roman"/>
          <w:b/>
          <w:bCs/>
          <w:iCs/>
          <w:sz w:val="24"/>
          <w:szCs w:val="24"/>
        </w:rPr>
        <w:t>.1 Preparação das amostras contendo glifosato</w:t>
      </w:r>
    </w:p>
    <w:p w14:paraId="1E1DCD96" w14:textId="226E51F2" w:rsidR="00D90FA4" w:rsidRPr="00D90FA4" w:rsidRDefault="00D90FA4" w:rsidP="007A235A">
      <w:pPr>
        <w:jc w:val="both"/>
        <w:rPr>
          <w:rFonts w:ascii="Times New Roman" w:hAnsi="Times New Roman" w:cs="Times New Roman"/>
          <w:iCs/>
          <w:sz w:val="24"/>
          <w:szCs w:val="24"/>
        </w:rPr>
      </w:pPr>
      <w:r w:rsidRPr="00D90FA4">
        <w:rPr>
          <w:rFonts w:ascii="Times New Roman" w:hAnsi="Times New Roman" w:cs="Times New Roman"/>
          <w:iCs/>
          <w:sz w:val="24"/>
          <w:szCs w:val="24"/>
        </w:rPr>
        <w:t xml:space="preserve">O glifosato </w:t>
      </w:r>
      <w:r w:rsidR="003C0F0F">
        <w:rPr>
          <w:rFonts w:ascii="Times New Roman" w:hAnsi="Times New Roman" w:cs="Times New Roman"/>
          <w:iCs/>
          <w:sz w:val="24"/>
          <w:szCs w:val="24"/>
        </w:rPr>
        <w:t>foi</w:t>
      </w:r>
      <w:r w:rsidRPr="00D90FA4">
        <w:rPr>
          <w:rFonts w:ascii="Times New Roman" w:hAnsi="Times New Roman" w:cs="Times New Roman"/>
          <w:iCs/>
          <w:sz w:val="24"/>
          <w:szCs w:val="24"/>
        </w:rPr>
        <w:t xml:space="preserve"> adquirido no comércio local sob o rótulo de </w:t>
      </w:r>
      <w:proofErr w:type="spellStart"/>
      <w:r w:rsidRPr="00D90FA4">
        <w:rPr>
          <w:rFonts w:ascii="Times New Roman" w:hAnsi="Times New Roman" w:cs="Times New Roman"/>
          <w:iCs/>
          <w:sz w:val="24"/>
          <w:szCs w:val="24"/>
        </w:rPr>
        <w:t>Roundup</w:t>
      </w:r>
      <w:proofErr w:type="spellEnd"/>
      <w:r w:rsidRPr="00D90FA4">
        <w:rPr>
          <w:rFonts w:ascii="Times New Roman" w:hAnsi="Times New Roman" w:cs="Times New Roman"/>
          <w:iCs/>
          <w:sz w:val="24"/>
          <w:szCs w:val="24"/>
        </w:rPr>
        <w:t xml:space="preserve">® e de acordo com a bula do produto, cada litro de </w:t>
      </w:r>
      <w:proofErr w:type="spellStart"/>
      <w:r w:rsidRPr="00D90FA4">
        <w:rPr>
          <w:rFonts w:ascii="Times New Roman" w:hAnsi="Times New Roman" w:cs="Times New Roman"/>
          <w:iCs/>
          <w:sz w:val="24"/>
          <w:szCs w:val="24"/>
        </w:rPr>
        <w:t>Roundup</w:t>
      </w:r>
      <w:proofErr w:type="spellEnd"/>
      <w:r w:rsidRPr="00D90FA4">
        <w:rPr>
          <w:rFonts w:ascii="Times New Roman" w:hAnsi="Times New Roman" w:cs="Times New Roman"/>
          <w:iCs/>
          <w:sz w:val="24"/>
          <w:szCs w:val="24"/>
        </w:rPr>
        <w:t xml:space="preserve">® contêm 480 gramas do ingrediente ativo, o sal de </w:t>
      </w:r>
      <w:proofErr w:type="spellStart"/>
      <w:r w:rsidRPr="00D90FA4">
        <w:rPr>
          <w:rFonts w:ascii="Times New Roman" w:hAnsi="Times New Roman" w:cs="Times New Roman"/>
          <w:iCs/>
          <w:sz w:val="24"/>
          <w:szCs w:val="24"/>
        </w:rPr>
        <w:t>isopropilamina</w:t>
      </w:r>
      <w:proofErr w:type="spellEnd"/>
      <w:r w:rsidRPr="00D90FA4">
        <w:rPr>
          <w:rFonts w:ascii="Times New Roman" w:hAnsi="Times New Roman" w:cs="Times New Roman"/>
          <w:iCs/>
          <w:sz w:val="24"/>
          <w:szCs w:val="24"/>
        </w:rPr>
        <w:t xml:space="preserve"> de N-(</w:t>
      </w:r>
      <w:proofErr w:type="spellStart"/>
      <w:r w:rsidRPr="00D90FA4">
        <w:rPr>
          <w:rFonts w:ascii="Times New Roman" w:hAnsi="Times New Roman" w:cs="Times New Roman"/>
          <w:iCs/>
          <w:sz w:val="24"/>
          <w:szCs w:val="24"/>
        </w:rPr>
        <w:t>fosfonometil</w:t>
      </w:r>
      <w:proofErr w:type="spellEnd"/>
      <w:r w:rsidRPr="00D90FA4">
        <w:rPr>
          <w:rFonts w:ascii="Times New Roman" w:hAnsi="Times New Roman" w:cs="Times New Roman"/>
          <w:iCs/>
          <w:sz w:val="24"/>
          <w:szCs w:val="24"/>
        </w:rPr>
        <w:t xml:space="preserve">) glicina. Com o objetivo de avaliar o comportamento do </w:t>
      </w:r>
      <w:r w:rsidRPr="00D90FA4">
        <w:rPr>
          <w:rFonts w:ascii="Times New Roman" w:hAnsi="Times New Roman" w:cs="Times New Roman"/>
          <w:iCs/>
          <w:sz w:val="24"/>
          <w:szCs w:val="24"/>
        </w:rPr>
        <w:lastRenderedPageBreak/>
        <w:t xml:space="preserve">PNT em amostras com concentrações de glifosato encontradas em ensaios realizados na água de abastecimento público no país e considerando o limite de glifosato estabelecido pela legislação. As amostras </w:t>
      </w:r>
      <w:r w:rsidR="00992DAB">
        <w:rPr>
          <w:rFonts w:ascii="Times New Roman" w:hAnsi="Times New Roman" w:cs="Times New Roman"/>
          <w:iCs/>
          <w:sz w:val="24"/>
          <w:szCs w:val="24"/>
        </w:rPr>
        <w:t>foram</w:t>
      </w:r>
      <w:r w:rsidRPr="00D90FA4">
        <w:rPr>
          <w:rFonts w:ascii="Times New Roman" w:hAnsi="Times New Roman" w:cs="Times New Roman"/>
          <w:iCs/>
          <w:sz w:val="24"/>
          <w:szCs w:val="24"/>
        </w:rPr>
        <w:t xml:space="preserve"> preparadas com concentrações de glifosato de 100 </w:t>
      </w:r>
      <w:proofErr w:type="spellStart"/>
      <w:r w:rsidRPr="00D90FA4">
        <w:rPr>
          <w:rFonts w:ascii="Times New Roman" w:hAnsi="Times New Roman" w:cs="Times New Roman"/>
          <w:iCs/>
          <w:sz w:val="24"/>
          <w:szCs w:val="24"/>
        </w:rPr>
        <w:t>μg</w:t>
      </w:r>
      <w:proofErr w:type="spellEnd"/>
      <w:r w:rsidRPr="00D90FA4">
        <w:rPr>
          <w:rFonts w:ascii="Times New Roman" w:hAnsi="Times New Roman" w:cs="Times New Roman"/>
          <w:iCs/>
          <w:sz w:val="24"/>
          <w:szCs w:val="24"/>
        </w:rPr>
        <w:t xml:space="preserve">/L, 500 </w:t>
      </w:r>
      <w:proofErr w:type="spellStart"/>
      <w:r w:rsidRPr="00D90FA4">
        <w:rPr>
          <w:rFonts w:ascii="Times New Roman" w:hAnsi="Times New Roman" w:cs="Times New Roman"/>
          <w:iCs/>
          <w:sz w:val="24"/>
          <w:szCs w:val="24"/>
        </w:rPr>
        <w:t>μg</w:t>
      </w:r>
      <w:proofErr w:type="spellEnd"/>
      <w:r w:rsidRPr="00D90FA4">
        <w:rPr>
          <w:rFonts w:ascii="Times New Roman" w:hAnsi="Times New Roman" w:cs="Times New Roman"/>
          <w:iCs/>
          <w:sz w:val="24"/>
          <w:szCs w:val="24"/>
        </w:rPr>
        <w:t xml:space="preserve">/L e 1000 </w:t>
      </w:r>
      <w:proofErr w:type="spellStart"/>
      <w:r w:rsidRPr="00D90FA4">
        <w:rPr>
          <w:rFonts w:ascii="Times New Roman" w:hAnsi="Times New Roman" w:cs="Times New Roman"/>
          <w:iCs/>
          <w:sz w:val="24"/>
          <w:szCs w:val="24"/>
        </w:rPr>
        <w:t>μg</w:t>
      </w:r>
      <w:proofErr w:type="spellEnd"/>
      <w:r w:rsidRPr="00D90FA4">
        <w:rPr>
          <w:rFonts w:ascii="Times New Roman" w:hAnsi="Times New Roman" w:cs="Times New Roman"/>
          <w:iCs/>
          <w:sz w:val="24"/>
          <w:szCs w:val="24"/>
        </w:rPr>
        <w:t>/L</w:t>
      </w:r>
      <w:r w:rsidR="007A235A">
        <w:rPr>
          <w:rFonts w:ascii="Times New Roman" w:hAnsi="Times New Roman" w:cs="Times New Roman"/>
          <w:iCs/>
          <w:sz w:val="24"/>
          <w:szCs w:val="24"/>
        </w:rPr>
        <w:t>.</w:t>
      </w:r>
    </w:p>
    <w:p w14:paraId="7864B247" w14:textId="77777777" w:rsidR="00D90FA4" w:rsidRPr="00D90FA4" w:rsidRDefault="00D90FA4" w:rsidP="00D90FA4">
      <w:pPr>
        <w:rPr>
          <w:rFonts w:ascii="Times New Roman" w:hAnsi="Times New Roman" w:cs="Times New Roman"/>
          <w:iCs/>
          <w:sz w:val="24"/>
          <w:szCs w:val="24"/>
        </w:rPr>
      </w:pPr>
    </w:p>
    <w:p w14:paraId="4A18563D" w14:textId="74824AC0" w:rsidR="00D90FA4" w:rsidRPr="00D90FA4" w:rsidRDefault="00D90FA4" w:rsidP="00D90FA4">
      <w:pPr>
        <w:rPr>
          <w:rFonts w:ascii="Times New Roman" w:hAnsi="Times New Roman" w:cs="Times New Roman"/>
          <w:iCs/>
          <w:sz w:val="24"/>
          <w:szCs w:val="24"/>
        </w:rPr>
      </w:pPr>
      <w:r>
        <w:rPr>
          <w:rFonts w:ascii="Times New Roman" w:hAnsi="Times New Roman" w:cs="Times New Roman"/>
          <w:b/>
          <w:bCs/>
          <w:iCs/>
          <w:sz w:val="24"/>
          <w:szCs w:val="24"/>
        </w:rPr>
        <w:t>2</w:t>
      </w:r>
      <w:r w:rsidRPr="00D90FA4">
        <w:rPr>
          <w:rFonts w:ascii="Times New Roman" w:hAnsi="Times New Roman" w:cs="Times New Roman"/>
          <w:b/>
          <w:bCs/>
          <w:iCs/>
          <w:sz w:val="24"/>
          <w:szCs w:val="24"/>
        </w:rPr>
        <w:t>.2 Reator</w:t>
      </w:r>
      <w:r w:rsidR="00C10DBB">
        <w:rPr>
          <w:rFonts w:ascii="Times New Roman" w:hAnsi="Times New Roman" w:cs="Times New Roman"/>
          <w:b/>
          <w:bCs/>
          <w:iCs/>
          <w:sz w:val="24"/>
          <w:szCs w:val="24"/>
        </w:rPr>
        <w:t xml:space="preserve"> </w:t>
      </w:r>
      <w:r w:rsidRPr="00D90FA4">
        <w:rPr>
          <w:rFonts w:ascii="Times New Roman" w:hAnsi="Times New Roman" w:cs="Times New Roman"/>
          <w:b/>
          <w:bCs/>
          <w:iCs/>
          <w:sz w:val="24"/>
          <w:szCs w:val="24"/>
        </w:rPr>
        <w:t>de plasma</w:t>
      </w:r>
    </w:p>
    <w:p w14:paraId="71DD95EA" w14:textId="535C8C46" w:rsidR="007A235A" w:rsidRPr="007A235A" w:rsidRDefault="00C10DBB" w:rsidP="00C10DBB">
      <w:pPr>
        <w:jc w:val="both"/>
        <w:rPr>
          <w:rFonts w:ascii="Times New Roman" w:hAnsi="Times New Roman" w:cs="Times New Roman"/>
          <w:iCs/>
          <w:sz w:val="24"/>
          <w:szCs w:val="24"/>
        </w:rPr>
      </w:pPr>
      <w:r w:rsidRPr="00C10DBB">
        <w:rPr>
          <w:rFonts w:ascii="Times New Roman" w:hAnsi="Times New Roman" w:cs="Times New Roman"/>
          <w:sz w:val="24"/>
          <w:szCs w:val="24"/>
        </w:rPr>
        <w:t xml:space="preserve">O </w:t>
      </w:r>
      <w:r w:rsidR="00D90FA4" w:rsidRPr="00C10DBB">
        <w:rPr>
          <w:rFonts w:ascii="Times New Roman" w:hAnsi="Times New Roman" w:cs="Times New Roman"/>
          <w:sz w:val="24"/>
          <w:szCs w:val="24"/>
        </w:rPr>
        <w:t xml:space="preserve">Reator </w:t>
      </w:r>
      <w:r w:rsidRPr="00C10DBB">
        <w:rPr>
          <w:rFonts w:ascii="Times New Roman" w:hAnsi="Times New Roman" w:cs="Times New Roman"/>
          <w:sz w:val="24"/>
          <w:szCs w:val="24"/>
        </w:rPr>
        <w:t xml:space="preserve">de plasma </w:t>
      </w:r>
      <w:proofErr w:type="gramStart"/>
      <w:r w:rsidR="007A235A" w:rsidRPr="00C10DBB">
        <w:rPr>
          <w:rFonts w:ascii="Times New Roman" w:hAnsi="Times New Roman" w:cs="Times New Roman"/>
          <w:sz w:val="24"/>
          <w:szCs w:val="24"/>
        </w:rPr>
        <w:t>( figura</w:t>
      </w:r>
      <w:proofErr w:type="gramEnd"/>
      <w:r w:rsidR="007A235A" w:rsidRPr="00C10DBB">
        <w:rPr>
          <w:rFonts w:ascii="Times New Roman" w:hAnsi="Times New Roman" w:cs="Times New Roman"/>
          <w:sz w:val="24"/>
          <w:szCs w:val="24"/>
        </w:rPr>
        <w:t xml:space="preserve"> 1)</w:t>
      </w:r>
      <w:r w:rsidR="00D90FA4">
        <w:rPr>
          <w:rFonts w:ascii="Times New Roman" w:hAnsi="Times New Roman" w:cs="Times New Roman"/>
          <w:i/>
          <w:iCs/>
          <w:sz w:val="24"/>
          <w:szCs w:val="24"/>
        </w:rPr>
        <w:t xml:space="preserve"> </w:t>
      </w:r>
      <w:r w:rsidR="00D90FA4" w:rsidRPr="00D90FA4">
        <w:rPr>
          <w:rFonts w:ascii="Times New Roman" w:hAnsi="Times New Roman" w:cs="Times New Roman"/>
          <w:iCs/>
          <w:sz w:val="24"/>
          <w:szCs w:val="24"/>
        </w:rPr>
        <w:t xml:space="preserve">com eletrodos de aço inox, vidro </w:t>
      </w:r>
      <w:proofErr w:type="spellStart"/>
      <w:r w:rsidR="00D90FA4" w:rsidRPr="00D90FA4">
        <w:rPr>
          <w:rFonts w:ascii="Times New Roman" w:hAnsi="Times New Roman" w:cs="Times New Roman"/>
          <w:iCs/>
          <w:sz w:val="24"/>
          <w:szCs w:val="24"/>
        </w:rPr>
        <w:t>borosilicato</w:t>
      </w:r>
      <w:proofErr w:type="spellEnd"/>
      <w:r w:rsidR="00D90FA4" w:rsidRPr="00D90FA4">
        <w:rPr>
          <w:rFonts w:ascii="Times New Roman" w:hAnsi="Times New Roman" w:cs="Times New Roman"/>
          <w:iCs/>
          <w:sz w:val="24"/>
          <w:szCs w:val="24"/>
        </w:rPr>
        <w:t xml:space="preserve"> com capacidade para trabalhar com até 500 </w:t>
      </w:r>
      <w:proofErr w:type="spellStart"/>
      <w:r w:rsidR="00D90FA4" w:rsidRPr="00D90FA4">
        <w:rPr>
          <w:rFonts w:ascii="Times New Roman" w:hAnsi="Times New Roman" w:cs="Times New Roman"/>
          <w:iCs/>
          <w:sz w:val="24"/>
          <w:szCs w:val="24"/>
        </w:rPr>
        <w:t>mL</w:t>
      </w:r>
      <w:proofErr w:type="spellEnd"/>
      <w:r w:rsidR="00D90FA4" w:rsidRPr="00D90FA4">
        <w:rPr>
          <w:rFonts w:ascii="Times New Roman" w:hAnsi="Times New Roman" w:cs="Times New Roman"/>
          <w:iCs/>
          <w:sz w:val="24"/>
          <w:szCs w:val="24"/>
        </w:rPr>
        <w:t xml:space="preserve"> de amostra por batelada</w:t>
      </w:r>
      <w:r>
        <w:rPr>
          <w:rFonts w:ascii="Times New Roman" w:hAnsi="Times New Roman" w:cs="Times New Roman"/>
          <w:iCs/>
          <w:sz w:val="24"/>
          <w:szCs w:val="24"/>
        </w:rPr>
        <w:t xml:space="preserve"> foi conectado a uma </w:t>
      </w:r>
      <w:r w:rsidR="00D90FA4" w:rsidRPr="00D90FA4">
        <w:rPr>
          <w:rFonts w:ascii="Times New Roman" w:hAnsi="Times New Roman" w:cs="Times New Roman"/>
          <w:iCs/>
          <w:sz w:val="24"/>
          <w:szCs w:val="24"/>
        </w:rPr>
        <w:t xml:space="preserve">fonte de alta tensão acoplada a um transformador com entrada de 220 V, 60Hz e saída de 17 kV e 30 </w:t>
      </w:r>
      <w:proofErr w:type="spellStart"/>
      <w:r w:rsidR="00D90FA4" w:rsidRPr="00D90FA4">
        <w:rPr>
          <w:rFonts w:ascii="Times New Roman" w:hAnsi="Times New Roman" w:cs="Times New Roman"/>
          <w:iCs/>
          <w:sz w:val="24"/>
          <w:szCs w:val="24"/>
        </w:rPr>
        <w:t>mA</w:t>
      </w:r>
      <w:proofErr w:type="spellEnd"/>
      <w:r w:rsidR="00D90FA4" w:rsidRPr="00D90FA4">
        <w:rPr>
          <w:rFonts w:ascii="Times New Roman" w:hAnsi="Times New Roman" w:cs="Times New Roman"/>
          <w:iCs/>
          <w:sz w:val="24"/>
          <w:szCs w:val="24"/>
        </w:rPr>
        <w:t xml:space="preserve"> com potência máxima de 500W. </w:t>
      </w:r>
    </w:p>
    <w:p w14:paraId="5CCD31FC" w14:textId="5BFA1104" w:rsidR="007A235A" w:rsidRDefault="00C1780E" w:rsidP="007A235A">
      <w:pPr>
        <w:pStyle w:val="plpar"/>
        <w:ind w:firstLine="708"/>
        <w:jc w:val="both"/>
      </w:pPr>
      <w:r w:rsidRPr="00C1780E">
        <w:rPr>
          <w:noProof/>
        </w:rPr>
        <w:drawing>
          <wp:inline distT="0" distB="0" distL="0" distR="0" wp14:anchorId="236BACCF" wp14:editId="217DF0A3">
            <wp:extent cx="4870018" cy="1693919"/>
            <wp:effectExtent l="12700" t="12700" r="6985"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6022" cy="1696007"/>
                    </a:xfrm>
                    <a:prstGeom prst="rect">
                      <a:avLst/>
                    </a:prstGeom>
                    <a:ln>
                      <a:solidFill>
                        <a:schemeClr val="accent1"/>
                      </a:solidFill>
                    </a:ln>
                  </pic:spPr>
                </pic:pic>
              </a:graphicData>
            </a:graphic>
          </wp:inline>
        </w:drawing>
      </w:r>
    </w:p>
    <w:p w14:paraId="72B2EF4F" w14:textId="77777777" w:rsidR="007A235A" w:rsidRDefault="007A235A" w:rsidP="00C1780E">
      <w:pPr>
        <w:pStyle w:val="plpar"/>
        <w:ind w:left="709"/>
        <w:jc w:val="both"/>
      </w:pPr>
      <w:r>
        <w:t xml:space="preserve">Figura 1: desenho esquemático – A: reator para sólidos; B: reator para líquidos (produção de água ativada por plasma) </w:t>
      </w:r>
    </w:p>
    <w:p w14:paraId="3EC24E74" w14:textId="77777777" w:rsidR="00D90FA4" w:rsidRPr="00D90FA4" w:rsidRDefault="00D90FA4" w:rsidP="00D90FA4">
      <w:pPr>
        <w:rPr>
          <w:rFonts w:ascii="Times New Roman" w:hAnsi="Times New Roman" w:cs="Times New Roman"/>
          <w:iCs/>
          <w:sz w:val="24"/>
          <w:szCs w:val="24"/>
        </w:rPr>
      </w:pPr>
    </w:p>
    <w:p w14:paraId="3F4892BB" w14:textId="6DB5D17D" w:rsidR="00D90FA4" w:rsidRPr="00992DAB" w:rsidRDefault="00D90FA4" w:rsidP="00992DAB">
      <w:pPr>
        <w:pStyle w:val="PargrafodaLista"/>
        <w:numPr>
          <w:ilvl w:val="1"/>
          <w:numId w:val="1"/>
        </w:numPr>
        <w:rPr>
          <w:rFonts w:ascii="Times New Roman" w:hAnsi="Times New Roman" w:cs="Times New Roman"/>
          <w:b/>
          <w:bCs/>
          <w:iCs/>
          <w:sz w:val="24"/>
          <w:szCs w:val="24"/>
        </w:rPr>
      </w:pPr>
      <w:r w:rsidRPr="00992DAB">
        <w:rPr>
          <w:rFonts w:ascii="Times New Roman" w:hAnsi="Times New Roman" w:cs="Times New Roman"/>
          <w:b/>
          <w:bCs/>
          <w:iCs/>
          <w:sz w:val="24"/>
          <w:szCs w:val="24"/>
        </w:rPr>
        <w:t>Condições experimentais</w:t>
      </w:r>
    </w:p>
    <w:p w14:paraId="6E3E7906" w14:textId="77777777" w:rsidR="00992DAB" w:rsidRPr="00992DAB" w:rsidRDefault="00992DAB" w:rsidP="00992DAB">
      <w:pPr>
        <w:pStyle w:val="PargrafodaLista"/>
        <w:ind w:left="1060"/>
        <w:rPr>
          <w:rFonts w:ascii="Times New Roman" w:hAnsi="Times New Roman" w:cs="Times New Roman"/>
          <w:iCs/>
          <w:sz w:val="24"/>
          <w:szCs w:val="24"/>
        </w:rPr>
      </w:pPr>
    </w:p>
    <w:p w14:paraId="5E31DA90" w14:textId="0ACAE9BD" w:rsidR="00D90FA4" w:rsidRPr="00D90FA4" w:rsidRDefault="007A235A" w:rsidP="00992DAB">
      <w:pPr>
        <w:jc w:val="both"/>
        <w:rPr>
          <w:rFonts w:ascii="Times New Roman" w:hAnsi="Times New Roman" w:cs="Times New Roman"/>
          <w:iCs/>
          <w:sz w:val="24"/>
          <w:szCs w:val="24"/>
        </w:rPr>
      </w:pPr>
      <w:r>
        <w:rPr>
          <w:rFonts w:ascii="Times New Roman" w:hAnsi="Times New Roman" w:cs="Times New Roman"/>
          <w:iCs/>
          <w:sz w:val="24"/>
          <w:szCs w:val="24"/>
        </w:rPr>
        <w:tab/>
      </w:r>
      <w:r w:rsidR="00D90FA4" w:rsidRPr="00D90FA4">
        <w:rPr>
          <w:rFonts w:ascii="Times New Roman" w:hAnsi="Times New Roman" w:cs="Times New Roman"/>
          <w:iCs/>
          <w:sz w:val="24"/>
          <w:szCs w:val="24"/>
        </w:rPr>
        <w:t xml:space="preserve">Os experimentos </w:t>
      </w:r>
      <w:r w:rsidR="00992DAB">
        <w:rPr>
          <w:rFonts w:ascii="Times New Roman" w:hAnsi="Times New Roman" w:cs="Times New Roman"/>
          <w:iCs/>
          <w:sz w:val="24"/>
          <w:szCs w:val="24"/>
        </w:rPr>
        <w:t>foram</w:t>
      </w:r>
      <w:r w:rsidR="00D90FA4" w:rsidRPr="00D90FA4">
        <w:rPr>
          <w:rFonts w:ascii="Times New Roman" w:hAnsi="Times New Roman" w:cs="Times New Roman"/>
          <w:iCs/>
          <w:sz w:val="24"/>
          <w:szCs w:val="24"/>
        </w:rPr>
        <w:t xml:space="preserve"> realizados em triplicata, os morangos in natura </w:t>
      </w:r>
      <w:r w:rsidR="00362434">
        <w:rPr>
          <w:rFonts w:ascii="Times New Roman" w:hAnsi="Times New Roman" w:cs="Times New Roman"/>
          <w:iCs/>
          <w:sz w:val="24"/>
          <w:szCs w:val="24"/>
        </w:rPr>
        <w:t xml:space="preserve">foram </w:t>
      </w:r>
      <w:proofErr w:type="gramStart"/>
      <w:r w:rsidR="00D90FA4" w:rsidRPr="00D90FA4">
        <w:rPr>
          <w:rFonts w:ascii="Times New Roman" w:hAnsi="Times New Roman" w:cs="Times New Roman"/>
          <w:iCs/>
          <w:sz w:val="24"/>
          <w:szCs w:val="24"/>
        </w:rPr>
        <w:t>mergulhadas</w:t>
      </w:r>
      <w:proofErr w:type="gramEnd"/>
      <w:r w:rsidR="00D90FA4" w:rsidRPr="00D90FA4">
        <w:rPr>
          <w:rFonts w:ascii="Times New Roman" w:hAnsi="Times New Roman" w:cs="Times New Roman"/>
          <w:iCs/>
          <w:sz w:val="24"/>
          <w:szCs w:val="24"/>
        </w:rPr>
        <w:t xml:space="preserve"> em solução de glifosato em diferentes concentrações durante 2 minutos. Após a contaminação do alimento com o herbicida, o mesmo será submetido mergulhado na água ativada por plasma. </w:t>
      </w:r>
    </w:p>
    <w:p w14:paraId="399A9CDB" w14:textId="77777777" w:rsidR="00D90FA4" w:rsidRPr="00D90FA4" w:rsidRDefault="00D90FA4" w:rsidP="00D90FA4">
      <w:pPr>
        <w:rPr>
          <w:rFonts w:ascii="Times New Roman" w:hAnsi="Times New Roman" w:cs="Times New Roman"/>
          <w:iCs/>
          <w:sz w:val="24"/>
          <w:szCs w:val="24"/>
        </w:rPr>
      </w:pPr>
    </w:p>
    <w:p w14:paraId="7B804F87" w14:textId="22B6C490" w:rsidR="00D90FA4" w:rsidRPr="00D90FA4" w:rsidRDefault="00D90FA4" w:rsidP="00D90FA4">
      <w:pPr>
        <w:rPr>
          <w:rFonts w:ascii="Times New Roman" w:hAnsi="Times New Roman" w:cs="Times New Roman"/>
          <w:iCs/>
          <w:sz w:val="24"/>
          <w:szCs w:val="24"/>
        </w:rPr>
      </w:pPr>
      <w:r>
        <w:rPr>
          <w:rFonts w:ascii="Times New Roman" w:hAnsi="Times New Roman" w:cs="Times New Roman"/>
          <w:b/>
          <w:bCs/>
          <w:iCs/>
          <w:sz w:val="24"/>
          <w:szCs w:val="24"/>
        </w:rPr>
        <w:t>2</w:t>
      </w:r>
      <w:r w:rsidRPr="00D90FA4">
        <w:rPr>
          <w:rFonts w:ascii="Times New Roman" w:hAnsi="Times New Roman" w:cs="Times New Roman"/>
          <w:b/>
          <w:bCs/>
          <w:iCs/>
          <w:sz w:val="24"/>
          <w:szCs w:val="24"/>
        </w:rPr>
        <w:t>.4 Ensaios físico-químicos</w:t>
      </w:r>
    </w:p>
    <w:p w14:paraId="0477E34F" w14:textId="77777777" w:rsidR="00D90FA4" w:rsidRPr="00D90FA4" w:rsidRDefault="00D90FA4" w:rsidP="00D90FA4">
      <w:pPr>
        <w:rPr>
          <w:rFonts w:ascii="Times New Roman" w:hAnsi="Times New Roman" w:cs="Times New Roman"/>
          <w:iCs/>
          <w:sz w:val="24"/>
          <w:szCs w:val="24"/>
        </w:rPr>
      </w:pPr>
    </w:p>
    <w:p w14:paraId="45E322B2" w14:textId="4F404C9E" w:rsidR="004F30CD" w:rsidRPr="004F30CD" w:rsidRDefault="004F30CD" w:rsidP="004F30CD">
      <w:pPr>
        <w:jc w:val="both"/>
        <w:rPr>
          <w:rFonts w:ascii="Times New Roman" w:hAnsi="Times New Roman" w:cs="Times New Roman"/>
          <w:iCs/>
          <w:sz w:val="24"/>
          <w:szCs w:val="24"/>
        </w:rPr>
      </w:pPr>
      <w:r>
        <w:rPr>
          <w:rFonts w:ascii="Times New Roman" w:hAnsi="Times New Roman" w:cs="Times New Roman"/>
          <w:iCs/>
          <w:sz w:val="24"/>
          <w:szCs w:val="24"/>
        </w:rPr>
        <w:tab/>
      </w:r>
      <w:r w:rsidRPr="004F30CD">
        <w:rPr>
          <w:rFonts w:ascii="Times New Roman" w:hAnsi="Times New Roman" w:cs="Times New Roman"/>
          <w:iCs/>
          <w:sz w:val="24"/>
          <w:szCs w:val="24"/>
        </w:rPr>
        <w:t xml:space="preserve">As análises de concentração foram realizadas através de HPLC onde uma alíquota de 200 </w:t>
      </w:r>
      <w:proofErr w:type="spellStart"/>
      <w:r w:rsidRPr="004F30CD">
        <w:rPr>
          <w:rFonts w:ascii="Times New Roman" w:hAnsi="Times New Roman" w:cs="Times New Roman"/>
          <w:iCs/>
          <w:sz w:val="24"/>
          <w:szCs w:val="24"/>
        </w:rPr>
        <w:t>μL</w:t>
      </w:r>
      <w:proofErr w:type="spellEnd"/>
      <w:r w:rsidRPr="004F30CD">
        <w:rPr>
          <w:rFonts w:ascii="Times New Roman" w:hAnsi="Times New Roman" w:cs="Times New Roman"/>
          <w:iCs/>
          <w:sz w:val="24"/>
          <w:szCs w:val="24"/>
        </w:rPr>
        <w:t xml:space="preserve"> foi injetada em uma coluna de troca catiônica. A separação foi conseguida usando uma </w:t>
      </w:r>
      <w:proofErr w:type="spellStart"/>
      <w:r w:rsidRPr="004F30CD">
        <w:rPr>
          <w:rFonts w:ascii="Times New Roman" w:hAnsi="Times New Roman" w:cs="Times New Roman"/>
          <w:iCs/>
          <w:sz w:val="24"/>
          <w:szCs w:val="24"/>
        </w:rPr>
        <w:lastRenderedPageBreak/>
        <w:t>eluição</w:t>
      </w:r>
      <w:proofErr w:type="spellEnd"/>
      <w:r w:rsidRPr="004F30CD">
        <w:rPr>
          <w:rFonts w:ascii="Times New Roman" w:hAnsi="Times New Roman" w:cs="Times New Roman"/>
          <w:iCs/>
          <w:sz w:val="24"/>
          <w:szCs w:val="24"/>
        </w:rPr>
        <w:t xml:space="preserve"> </w:t>
      </w:r>
      <w:proofErr w:type="spellStart"/>
      <w:r w:rsidRPr="004F30CD">
        <w:rPr>
          <w:rFonts w:ascii="Times New Roman" w:hAnsi="Times New Roman" w:cs="Times New Roman"/>
          <w:iCs/>
          <w:sz w:val="24"/>
          <w:szCs w:val="24"/>
        </w:rPr>
        <w:t>isocrática</w:t>
      </w:r>
      <w:proofErr w:type="spellEnd"/>
      <w:r w:rsidRPr="004F30CD">
        <w:rPr>
          <w:rFonts w:ascii="Times New Roman" w:hAnsi="Times New Roman" w:cs="Times New Roman"/>
          <w:iCs/>
          <w:sz w:val="24"/>
          <w:szCs w:val="24"/>
        </w:rPr>
        <w:t xml:space="preserve">. Após </w:t>
      </w:r>
      <w:proofErr w:type="spellStart"/>
      <w:r w:rsidRPr="004F30CD">
        <w:rPr>
          <w:rFonts w:ascii="Times New Roman" w:hAnsi="Times New Roman" w:cs="Times New Roman"/>
          <w:iCs/>
          <w:sz w:val="24"/>
          <w:szCs w:val="24"/>
        </w:rPr>
        <w:t>eluição</w:t>
      </w:r>
      <w:proofErr w:type="spellEnd"/>
      <w:r w:rsidRPr="004F30CD">
        <w:rPr>
          <w:rFonts w:ascii="Times New Roman" w:hAnsi="Times New Roman" w:cs="Times New Roman"/>
          <w:iCs/>
          <w:sz w:val="24"/>
          <w:szCs w:val="24"/>
        </w:rPr>
        <w:t xml:space="preserve"> da coluna analítica a 65°C, o </w:t>
      </w:r>
      <w:proofErr w:type="spellStart"/>
      <w:r w:rsidRPr="004F30CD">
        <w:rPr>
          <w:rFonts w:ascii="Times New Roman" w:hAnsi="Times New Roman" w:cs="Times New Roman"/>
          <w:iCs/>
          <w:sz w:val="24"/>
          <w:szCs w:val="24"/>
        </w:rPr>
        <w:t>analito</w:t>
      </w:r>
      <w:proofErr w:type="spellEnd"/>
      <w:r w:rsidRPr="004F30CD">
        <w:rPr>
          <w:rFonts w:ascii="Times New Roman" w:hAnsi="Times New Roman" w:cs="Times New Roman"/>
          <w:iCs/>
          <w:sz w:val="24"/>
          <w:szCs w:val="24"/>
        </w:rPr>
        <w:t xml:space="preserve"> foi oxidado com hipoclorito de cálcio. O produto (glicina) foi então acoplado ao complexo o-ftalaldeído-2-mercaptoetanol a 38°C para dar um </w:t>
      </w:r>
      <w:proofErr w:type="spellStart"/>
      <w:r w:rsidRPr="004F30CD">
        <w:rPr>
          <w:rFonts w:ascii="Times New Roman" w:hAnsi="Times New Roman" w:cs="Times New Roman"/>
          <w:iCs/>
          <w:sz w:val="24"/>
          <w:szCs w:val="24"/>
        </w:rPr>
        <w:t>fluoróforo</w:t>
      </w:r>
      <w:proofErr w:type="spellEnd"/>
      <w:r w:rsidRPr="004F30CD">
        <w:rPr>
          <w:rFonts w:ascii="Times New Roman" w:hAnsi="Times New Roman" w:cs="Times New Roman"/>
          <w:iCs/>
          <w:sz w:val="24"/>
          <w:szCs w:val="24"/>
        </w:rPr>
        <w:t xml:space="preserve">, que foi detectado por um </w:t>
      </w:r>
      <w:proofErr w:type="spellStart"/>
      <w:r w:rsidRPr="004F30CD">
        <w:rPr>
          <w:rFonts w:ascii="Times New Roman" w:hAnsi="Times New Roman" w:cs="Times New Roman"/>
          <w:iCs/>
          <w:sz w:val="24"/>
          <w:szCs w:val="24"/>
        </w:rPr>
        <w:t>fluorômetro</w:t>
      </w:r>
      <w:proofErr w:type="spellEnd"/>
      <w:r w:rsidRPr="004F30CD">
        <w:rPr>
          <w:rFonts w:ascii="Times New Roman" w:hAnsi="Times New Roman" w:cs="Times New Roman"/>
          <w:iCs/>
          <w:sz w:val="24"/>
          <w:szCs w:val="24"/>
        </w:rPr>
        <w:t xml:space="preserve"> com excitação a 340 </w:t>
      </w:r>
      <w:proofErr w:type="spellStart"/>
      <w:r w:rsidRPr="004F30CD">
        <w:rPr>
          <w:rFonts w:ascii="Times New Roman" w:hAnsi="Times New Roman" w:cs="Times New Roman"/>
          <w:iCs/>
          <w:sz w:val="24"/>
          <w:szCs w:val="24"/>
        </w:rPr>
        <w:t>nm</w:t>
      </w:r>
      <w:proofErr w:type="spellEnd"/>
      <w:r w:rsidRPr="004F30CD">
        <w:rPr>
          <w:rFonts w:ascii="Times New Roman" w:hAnsi="Times New Roman" w:cs="Times New Roman"/>
          <w:iCs/>
          <w:sz w:val="24"/>
          <w:szCs w:val="24"/>
        </w:rPr>
        <w:t xml:space="preserve"> e detecção de emissão medida a 455 </w:t>
      </w:r>
      <w:proofErr w:type="spellStart"/>
      <w:r w:rsidRPr="004F30CD">
        <w:rPr>
          <w:rFonts w:ascii="Times New Roman" w:hAnsi="Times New Roman" w:cs="Times New Roman"/>
          <w:iCs/>
          <w:sz w:val="24"/>
          <w:szCs w:val="24"/>
        </w:rPr>
        <w:t>nm</w:t>
      </w:r>
      <w:proofErr w:type="spellEnd"/>
      <w:r w:rsidRPr="004F30CD">
        <w:rPr>
          <w:rFonts w:ascii="Times New Roman" w:hAnsi="Times New Roman" w:cs="Times New Roman"/>
          <w:iCs/>
          <w:sz w:val="24"/>
          <w:szCs w:val="24"/>
        </w:rPr>
        <w:t>.</w:t>
      </w:r>
    </w:p>
    <w:p w14:paraId="35B6EC0B" w14:textId="77777777" w:rsidR="004F30CD" w:rsidRPr="004F30CD" w:rsidRDefault="004F30CD" w:rsidP="004F30CD">
      <w:pPr>
        <w:jc w:val="both"/>
        <w:rPr>
          <w:rFonts w:ascii="Times New Roman" w:hAnsi="Times New Roman" w:cs="Times New Roman"/>
          <w:iCs/>
          <w:sz w:val="24"/>
          <w:szCs w:val="24"/>
        </w:rPr>
      </w:pPr>
      <w:r w:rsidRPr="004F30CD">
        <w:rPr>
          <w:rFonts w:ascii="Times New Roman" w:hAnsi="Times New Roman" w:cs="Times New Roman"/>
          <w:iCs/>
          <w:sz w:val="24"/>
          <w:szCs w:val="24"/>
        </w:rPr>
        <w:tab/>
        <w:t xml:space="preserve">As análises de pH foram realizadas por meio de </w:t>
      </w:r>
      <w:proofErr w:type="spellStart"/>
      <w:r w:rsidRPr="004F30CD">
        <w:rPr>
          <w:rFonts w:ascii="Times New Roman" w:hAnsi="Times New Roman" w:cs="Times New Roman"/>
          <w:iCs/>
          <w:sz w:val="24"/>
          <w:szCs w:val="24"/>
        </w:rPr>
        <w:t>pHmetro</w:t>
      </w:r>
      <w:proofErr w:type="spellEnd"/>
      <w:r w:rsidRPr="004F30CD">
        <w:rPr>
          <w:rFonts w:ascii="Times New Roman" w:hAnsi="Times New Roman" w:cs="Times New Roman"/>
          <w:iCs/>
          <w:sz w:val="24"/>
          <w:szCs w:val="24"/>
        </w:rPr>
        <w:t xml:space="preserve"> da marca Hanna, modelo Edge, utilizando alíquotas de 50ml. Os tampões utilizados para calibrar o equipamento eram da marca Êxodo Científica.</w:t>
      </w:r>
    </w:p>
    <w:p w14:paraId="458A329E" w14:textId="77777777" w:rsidR="004F30CD" w:rsidRPr="004F30CD" w:rsidRDefault="004F30CD" w:rsidP="004F30CD">
      <w:pPr>
        <w:jc w:val="both"/>
        <w:rPr>
          <w:rFonts w:ascii="Times New Roman" w:hAnsi="Times New Roman" w:cs="Times New Roman"/>
          <w:iCs/>
          <w:sz w:val="24"/>
          <w:szCs w:val="24"/>
        </w:rPr>
      </w:pPr>
      <w:r w:rsidRPr="004F30CD">
        <w:rPr>
          <w:rFonts w:ascii="Times New Roman" w:hAnsi="Times New Roman" w:cs="Times New Roman"/>
          <w:iCs/>
          <w:sz w:val="24"/>
          <w:szCs w:val="24"/>
        </w:rPr>
        <w:tab/>
        <w:t xml:space="preserve">As análises de condutividade elétrica foram realizadas através de </w:t>
      </w:r>
      <w:proofErr w:type="spellStart"/>
      <w:r w:rsidRPr="004F30CD">
        <w:rPr>
          <w:rFonts w:ascii="Times New Roman" w:hAnsi="Times New Roman" w:cs="Times New Roman"/>
          <w:iCs/>
          <w:sz w:val="24"/>
          <w:szCs w:val="24"/>
        </w:rPr>
        <w:t>condutivímetro</w:t>
      </w:r>
      <w:proofErr w:type="spellEnd"/>
      <w:r w:rsidRPr="004F30CD">
        <w:rPr>
          <w:rFonts w:ascii="Times New Roman" w:hAnsi="Times New Roman" w:cs="Times New Roman"/>
          <w:iCs/>
          <w:sz w:val="24"/>
          <w:szCs w:val="24"/>
        </w:rPr>
        <w:t xml:space="preserve"> marca Marte Científica, modelo </w:t>
      </w:r>
      <w:proofErr w:type="spellStart"/>
      <w:r w:rsidRPr="004F30CD">
        <w:rPr>
          <w:rFonts w:ascii="Times New Roman" w:hAnsi="Times New Roman" w:cs="Times New Roman"/>
          <w:iCs/>
          <w:sz w:val="24"/>
          <w:szCs w:val="24"/>
        </w:rPr>
        <w:t>OneSense</w:t>
      </w:r>
      <w:proofErr w:type="spellEnd"/>
      <w:r w:rsidRPr="004F30CD">
        <w:rPr>
          <w:rFonts w:ascii="Times New Roman" w:hAnsi="Times New Roman" w:cs="Times New Roman"/>
          <w:iCs/>
          <w:sz w:val="24"/>
          <w:szCs w:val="24"/>
        </w:rPr>
        <w:t xml:space="preserve"> Cond2500 utilizando alíquotas de 50ml de amostra. A solução padrão de condutividade utilizada para calibrar o equipamento foi da marca Êxodo Científica.</w:t>
      </w:r>
    </w:p>
    <w:p w14:paraId="315D2A77" w14:textId="77777777" w:rsidR="007067EF" w:rsidRPr="001643B9" w:rsidRDefault="007067EF" w:rsidP="007067EF">
      <w:pPr>
        <w:rPr>
          <w:rFonts w:ascii="Times New Roman" w:hAnsi="Times New Roman" w:cs="Times New Roman"/>
          <w:b/>
          <w:color w:val="008000"/>
          <w:sz w:val="18"/>
          <w:szCs w:val="18"/>
        </w:rPr>
      </w:pPr>
    </w:p>
    <w:p w14:paraId="6134986E" w14:textId="4B5BA976" w:rsidR="00211450" w:rsidRPr="004F30CD" w:rsidRDefault="007067EF" w:rsidP="004F30CD">
      <w:pPr>
        <w:pStyle w:val="PargrafodaLista"/>
        <w:numPr>
          <w:ilvl w:val="0"/>
          <w:numId w:val="1"/>
        </w:numPr>
        <w:rPr>
          <w:rFonts w:ascii="Times New Roman" w:hAnsi="Times New Roman" w:cs="Times New Roman"/>
          <w:sz w:val="24"/>
          <w:szCs w:val="24"/>
        </w:rPr>
      </w:pPr>
      <w:r w:rsidRPr="004F30CD">
        <w:rPr>
          <w:rFonts w:ascii="Times New Roman" w:hAnsi="Times New Roman" w:cs="Times New Roman"/>
          <w:b/>
          <w:sz w:val="24"/>
          <w:szCs w:val="24"/>
        </w:rPr>
        <w:t xml:space="preserve">RESULTADOS </w:t>
      </w:r>
      <w:r w:rsidR="002D4CCE" w:rsidRPr="004F30CD">
        <w:rPr>
          <w:rFonts w:ascii="Times New Roman" w:hAnsi="Times New Roman" w:cs="Times New Roman"/>
          <w:b/>
          <w:sz w:val="24"/>
          <w:szCs w:val="24"/>
        </w:rPr>
        <w:t>E DISCUSSÕES</w:t>
      </w:r>
      <w:r w:rsidRPr="004F30CD">
        <w:rPr>
          <w:rFonts w:ascii="Times New Roman" w:hAnsi="Times New Roman" w:cs="Times New Roman"/>
          <w:b/>
          <w:sz w:val="24"/>
          <w:szCs w:val="24"/>
        </w:rPr>
        <w:t>:</w:t>
      </w:r>
      <w:r w:rsidRPr="004F30CD">
        <w:rPr>
          <w:rFonts w:ascii="Times New Roman" w:hAnsi="Times New Roman" w:cs="Times New Roman"/>
          <w:sz w:val="24"/>
          <w:szCs w:val="24"/>
        </w:rPr>
        <w:t xml:space="preserve"> </w:t>
      </w:r>
    </w:p>
    <w:p w14:paraId="2BFCF5E2" w14:textId="2271B74B" w:rsidR="00211450" w:rsidRDefault="00211450" w:rsidP="00211450">
      <w:pPr>
        <w:rPr>
          <w:rFonts w:ascii="Times New Roman" w:hAnsi="Times New Roman" w:cs="Times New Roman"/>
          <w:sz w:val="24"/>
          <w:szCs w:val="24"/>
        </w:rPr>
      </w:pPr>
    </w:p>
    <w:p w14:paraId="68B2EE25" w14:textId="76E49DC6" w:rsidR="00211450" w:rsidRPr="00211450" w:rsidRDefault="00FA42AD" w:rsidP="00211450">
      <w:pPr>
        <w:jc w:val="both"/>
        <w:rPr>
          <w:rFonts w:ascii="Times New Roman" w:hAnsi="Times New Roman" w:cs="Times New Roman"/>
          <w:sz w:val="24"/>
          <w:szCs w:val="24"/>
        </w:rPr>
      </w:pPr>
      <w:bookmarkStart w:id="0" w:name="_Toc125914397"/>
      <w:r>
        <w:rPr>
          <w:rFonts w:ascii="Times New Roman" w:hAnsi="Times New Roman" w:cs="Times New Roman"/>
          <w:b/>
          <w:bCs/>
          <w:sz w:val="24"/>
          <w:szCs w:val="24"/>
        </w:rPr>
        <w:tab/>
      </w:r>
      <w:r w:rsidR="00211450" w:rsidRPr="00211450">
        <w:rPr>
          <w:rFonts w:ascii="Times New Roman" w:hAnsi="Times New Roman" w:cs="Times New Roman"/>
          <w:b/>
          <w:bCs/>
          <w:sz w:val="24"/>
          <w:szCs w:val="24"/>
        </w:rPr>
        <w:t>Concentração</w:t>
      </w:r>
      <w:bookmarkEnd w:id="0"/>
    </w:p>
    <w:p w14:paraId="3366EB04"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ab/>
        <w:t xml:space="preserve">Após realização dos ensaios foi verificado que a amostra preparada utilizado agrotóxico a base de glifosato continha 6,557 ± 0,00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 xml:space="preserve"> mg.L</m:t>
            </m:r>
          </m:e>
          <m:sup>
            <m:r>
              <m:rPr>
                <m:nor/>
              </m:rPr>
              <w:rPr>
                <w:rFonts w:ascii="Times New Roman" w:hAnsi="Times New Roman" w:cs="Times New Roman"/>
                <w:sz w:val="24"/>
                <w:szCs w:val="24"/>
              </w:rPr>
              <m:t>-1</m:t>
            </m:r>
          </m:sup>
        </m:sSup>
      </m:oMath>
      <w:r w:rsidRPr="00211450">
        <w:rPr>
          <w:rFonts w:ascii="Times New Roman" w:hAnsi="Times New Roman" w:cs="Times New Roman"/>
          <w:sz w:val="24"/>
          <w:szCs w:val="24"/>
        </w:rPr>
        <w:t xml:space="preserve"> do ingrediente ativo. Após o tratamento utilizando o PNT a concentração de glifosato determinada foi de 5,401 ± 0,123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 xml:space="preserve"> mg.L</m:t>
            </m:r>
          </m:e>
          <m:sup>
            <m:r>
              <m:rPr>
                <m:nor/>
              </m:rPr>
              <w:rPr>
                <w:rFonts w:ascii="Times New Roman" w:hAnsi="Times New Roman" w:cs="Times New Roman"/>
                <w:sz w:val="24"/>
                <w:szCs w:val="24"/>
              </w:rPr>
              <m:t>-1</m:t>
            </m:r>
          </m:sup>
        </m:sSup>
      </m:oMath>
      <w:r w:rsidRPr="00211450">
        <w:rPr>
          <w:rFonts w:ascii="Times New Roman" w:hAnsi="Times New Roman" w:cs="Times New Roman"/>
          <w:sz w:val="24"/>
          <w:szCs w:val="24"/>
        </w:rPr>
        <w:t xml:space="preserve">, 5,017 ± 0,242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 xml:space="preserve"> mg.L</m:t>
            </m:r>
          </m:e>
          <m:sup>
            <m:r>
              <m:rPr>
                <m:nor/>
              </m:rPr>
              <w:rPr>
                <w:rFonts w:ascii="Times New Roman" w:hAnsi="Times New Roman" w:cs="Times New Roman"/>
                <w:sz w:val="24"/>
                <w:szCs w:val="24"/>
              </w:rPr>
              <m:t>-1</m:t>
            </m:r>
          </m:sup>
        </m:sSup>
      </m:oMath>
      <w:r w:rsidRPr="00211450">
        <w:rPr>
          <w:rFonts w:ascii="Times New Roman" w:hAnsi="Times New Roman" w:cs="Times New Roman"/>
          <w:sz w:val="24"/>
          <w:szCs w:val="24"/>
        </w:rPr>
        <w:t xml:space="preserve"> e 4,709 ± 0, 317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 xml:space="preserve"> mg.L</m:t>
            </m:r>
          </m:e>
          <m:sup>
            <m:r>
              <m:rPr>
                <m:nor/>
              </m:rPr>
              <w:rPr>
                <w:rFonts w:ascii="Times New Roman" w:hAnsi="Times New Roman" w:cs="Times New Roman"/>
                <w:sz w:val="24"/>
                <w:szCs w:val="24"/>
              </w:rPr>
              <m:t>-1</m:t>
            </m:r>
          </m:sup>
        </m:sSup>
      </m:oMath>
      <w:r w:rsidRPr="00211450">
        <w:rPr>
          <w:rFonts w:ascii="Times New Roman" w:hAnsi="Times New Roman" w:cs="Times New Roman"/>
          <w:sz w:val="24"/>
          <w:szCs w:val="24"/>
        </w:rPr>
        <w:t>, resultando em reduções de 17,63% ± 1,88%, 23,49% ± 3,70% e 28,19% ± 4,84% nos tempos de 5, 15 e 45 minutos (fig. 3)</w:t>
      </w:r>
    </w:p>
    <w:p w14:paraId="0E52CFAC"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Fig. 3 – Degradação na concentração de glifosato</w:t>
      </w:r>
    </w:p>
    <w:p w14:paraId="19F5BD72"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noProof/>
          <w:sz w:val="24"/>
          <w:szCs w:val="24"/>
        </w:rPr>
        <w:drawing>
          <wp:inline distT="0" distB="0" distL="0" distR="0" wp14:anchorId="22B136D8" wp14:editId="0391BB43">
            <wp:extent cx="4091305" cy="2274570"/>
            <wp:effectExtent l="0" t="0" r="4445" b="11430"/>
            <wp:docPr id="1" name="Gráfico 1">
              <a:extLst xmlns:a="http://schemas.openxmlformats.org/drawingml/2006/main">
                <a:ext uri="{FF2B5EF4-FFF2-40B4-BE49-F238E27FC236}">
                  <a16:creationId xmlns:a16="http://schemas.microsoft.com/office/drawing/2014/main" id="{07307487-19A4-A058-9138-A0C424DA7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718E97"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Fonte: Autor, (2022)</w:t>
      </w:r>
    </w:p>
    <w:p w14:paraId="3677F7F8"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lastRenderedPageBreak/>
        <w:tab/>
        <w:t xml:space="preserve">Após expor solo contaminado com glifosato à descarga de plasma de barreira dielétrica utilizando corrente alternada e ar como gás </w:t>
      </w:r>
      <w:proofErr w:type="spellStart"/>
      <w:r w:rsidRPr="00211450">
        <w:rPr>
          <w:rFonts w:ascii="Times New Roman" w:hAnsi="Times New Roman" w:cs="Times New Roman"/>
          <w:sz w:val="24"/>
          <w:szCs w:val="24"/>
        </w:rPr>
        <w:t>plasmogênico</w:t>
      </w:r>
      <w:proofErr w:type="spellEnd"/>
      <w:r w:rsidRPr="00211450">
        <w:rPr>
          <w:rFonts w:ascii="Times New Roman" w:hAnsi="Times New Roman" w:cs="Times New Roman"/>
          <w:sz w:val="24"/>
          <w:szCs w:val="24"/>
        </w:rPr>
        <w:t xml:space="preserve">,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{"citationItems":[{"id":"ITEM-1","itemData":{"DOI":"10.1016/j.jhazmat.2016.08.067","ISSN":"18733336","PMID":"27597154","abstract":"Glyphosate was one of the most widely used herbicides in the world. Remediation of glyphosate-contaminated soil was conducted using atmospheric pressure dielectric barrier discharge (DBD) plasma. The feasibility of glyphosate degradation in soil was explored, and the soil leachate toxicity after remediation was assessed via a seed germination test. The experimental results showed that approximately 93.9% of glyphosate was degraded within 45 min of DBD plasma treatment with an energy yield of 0.47 g kWh−1, and the degradation process fitted the first-order kinetic model. Increasing the discharge voltage and decreasing the organic matter content of the soil were both found to facilitate glyphosate degradation. There existed appropriate soil moisture to realize high glyphosate degradation efficiency. Glyphosate mineralization was confirmed by changes of total organic carbon (TOC), chemical oxygen demand (COD), PO43− and NO3−. The degradation intermediates including glycine, aminomethylphosphonic acid, acetic acid, formic acid, PO43− and NO3−, CO2 and CO were observed. A possible pathway for glyphosate degradation in the soil using this system was proposed. Based on the soil leachate toxicity test using wheat seed germination, the soil did not exhibit any hazardous effects following high-efficiency glyphosate degradation.","author":[{"dropping-particle":"","family":"Wang","given":"Tiecheng","non-dropping-particle":"","parse-names":false,"suffix":""},{"dropping-particle":"","family":"Ren","given":"Jingyu","non-dropping-particle":"","parse-names":false,"suffix":""},{"dropping-particle":"","family":"Qu","given":"Guangzhou","non-dropping-particle":"","parse-names":false,"suffix":""},{"dropping-particle":"","family":"Liang","given":"Dongli","non-dropping-particle":"","parse-names":false,"suffix":""},{"dropping-particle":"","family":"Hu","given":"Shibin","non-dropping-particle":"","parse-names":false,"suffix":""}],"container-title":"Journal of Hazardous Materials","id":"ITEM-1","issued":{"date-parts":[["2016"]]},"page":"539-546","publisher":"Elsevier B.V.","title":"Glyphosate contaminated soil remediation by atmospheric pressure dielectric barrier discharge plasma and its residual toxicity evaluation","type":"article-journal","volume":"320"},"uris":["http://www.mendeley.com/documents/?uuid=180bd6a0-0eef-4782-826d-86f8fa02815d"]}],"mendeley":{"formattedCitation":"(WANG, T. &lt;i&gt;et al.&lt;/i&gt;, 2016)","manualFormatting":"WANG, et al., (2016)","plainTextFormattedCitation":"(WANG, T. et al., 2016)","previouslyFormattedCitation":"(WANG, T. &lt;i&gt;et al.&lt;/i&gt;, 2016)"},"properties":{"noteIndex":0},"schema":"https://github.com/citation-style-language/schema/raw/master/csl-citation.json"}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WANG, </w:t>
      </w:r>
      <w:r w:rsidRPr="00211450">
        <w:rPr>
          <w:rFonts w:ascii="Times New Roman" w:hAnsi="Times New Roman" w:cs="Times New Roman"/>
          <w:i/>
          <w:sz w:val="24"/>
          <w:szCs w:val="24"/>
        </w:rPr>
        <w:t>et al.</w:t>
      </w:r>
      <w:r w:rsidRPr="00211450">
        <w:rPr>
          <w:rFonts w:ascii="Times New Roman" w:hAnsi="Times New Roman" w:cs="Times New Roman"/>
          <w:sz w:val="24"/>
          <w:szCs w:val="24"/>
        </w:rPr>
        <w:t>, (2016)</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relataram a degradação do ingrediente ativo.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{"citationItems":[{"id":"ITEM-1","itemData":{"DOI":"10.2166/wst.2021.320","ISSN":"19969732","PMID":"34534124","abstract":"Glyphosate (GLP) is one of the most widely applied herbicides, and is found ubiquitously in the environment. The removal of glyphosate from waste water and soil is challenging and can be achieved with chemical or biological methods, which, nevertheless, suffer from different disadvantages. The application of a physical plasma for the removal of GLP in water was examined by the application of surface corona discharges in a wire-to-cylinder setup filled with argon. The plasma was ignited at the liquid surface without any additives. By applying a photometric method, GLP was detected after derivatisation with fluorenyl methoxycarbonyl chloride, whereas phosphate was determined with ammonium molybdate. A GLP degradation rate of 90.8% could be achieved within a treatment time of 30 minutes with an estimated energy efficiency of 0.32 g/kWh.","author":[{"dropping-particle":"","family":"Zocher","given":"Katja","non-dropping-particle":"","parse-names":false,"suffix":""},{"dropping-particle":"","family":"Gros","given":"Peter","non-dropping-particle":"","parse-names":false,"suffix":""},{"dropping-particle":"","family":"Werneburg","given":"Matthias","non-dropping-particle":"","parse-names":false,"suffix":""},{"dropping-particle":"","family":"Brüser","given":"Volker","non-dropping-particle":"","parse-names":false,"suffix":""},{"dropping-particle":"","family":"Kolb","given":"Juergen F.","non-dropping-particle":"","parse-names":false,"suffix":""},{"dropping-particle":"","family":"Leinweber","given":"Peter","non-dropping-particle":"","parse-names":false,"suffix":""}],"container-title":"Water Science and Technology","id":"ITEM-1","issue":"5","issued":{"date-parts":[["2021"]]},"page":"1293-1301","title":"Degradation of glyphosate in water by the application of surface corona discharges","type":"article-journal","volume":"84"},"uris":["http://www.mendeley.com/documents/?uuid=1cbb3da9-753e-49ed-a125-5317ffefd324"]}],"mendeley":{"formattedCitation":"(ZOCHER &lt;i&gt;et al.&lt;/i&gt;, 2021)","manualFormatting":"ZOCHER et al., (2021)","plainTextFormattedCitation":"(ZOCHER et al., 2021)","previouslyFormattedCitation":"(ZOCHER &lt;i&gt;et al.&lt;/i&gt;, 2021)"},"properties":{"noteIndex":0},"schema":"https://github.com/citation-style-language/schema/raw/master/csl-citation.json"}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ZOCHER </w:t>
      </w:r>
      <w:r w:rsidRPr="00211450">
        <w:rPr>
          <w:rFonts w:ascii="Times New Roman" w:hAnsi="Times New Roman" w:cs="Times New Roman"/>
          <w:i/>
          <w:sz w:val="24"/>
          <w:szCs w:val="24"/>
        </w:rPr>
        <w:t>et al.</w:t>
      </w:r>
      <w:r w:rsidRPr="00211450">
        <w:rPr>
          <w:rFonts w:ascii="Times New Roman" w:hAnsi="Times New Roman" w:cs="Times New Roman"/>
          <w:sz w:val="24"/>
          <w:szCs w:val="24"/>
        </w:rPr>
        <w:t>, (2021)</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também obtiveram resultados positivos quanto à degradação de glifosato, contudo, os autores expuseram amostras aquosas contendo glifosato à descarga elétrica. Além desse autores,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author":[{"dropping-particle":"","family":"Fouodjouo","given":"Moïse","non-dropping-particle":"","parse-names":false,"suffix":""},{"dropping-particle":"","family":"Laminsi","given":"Samuel","non-dropping-particle":"","parse-names":false,"suffix":""},{"dropping-particle":"","family":"Kamgang","given":"Georges Y.","non-dropping-particle":"","parse-names":false,"suffix":""},{"dropping-particle":"","family":"Mengue","given":"Michele T.","non-dropping-particle":"","parse-names":false,"suffix":""},{"dropping-particle":"","family":"Debacher","given":"Nito A.","non-dropping-particle":"","parse-names":false,"suffix":""}],"container-title":"Journal of the Brazilian Chemical Society","id":"ITEM-1","issue":"3","issued":{"date-parts":[["2015"]]},"page":"411-419","title":"Non-Thermal Plasma Induced Total Mineralization of Glyphosate in Water in the Presence of Iron II Ions","type":"article-journal","volume":"26"},"uris":["http://www.mendeley.com/documents/?uuid=6a461cb6-6c79-422c-aaca-1dda3e790c74"]}],"mendeley":{"formattedCitation":"(FOUODJOUO &lt;i&gt;et al.&lt;/i&gt;, 2015)","manualFormatting":"FOUODJOUO et al., (2015)","plainTextFormattedCitation":"(FOUODJOUO et al., 2015)","previouslyFormattedCitation":"(FOUODJOUO &lt;i&gt;et al.&lt;/i&gt;, 2015)"},"properties":{"noteIndex":0},"schema":"https://github.com/citation-style-language/schema/raw/master/csl-citation.json"}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FOUODJOUO </w:t>
      </w:r>
      <w:r w:rsidRPr="00211450">
        <w:rPr>
          <w:rFonts w:ascii="Times New Roman" w:hAnsi="Times New Roman" w:cs="Times New Roman"/>
          <w:i/>
          <w:sz w:val="24"/>
          <w:szCs w:val="24"/>
        </w:rPr>
        <w:t>et al.</w:t>
      </w:r>
      <w:r w:rsidRPr="00211450">
        <w:rPr>
          <w:rFonts w:ascii="Times New Roman" w:hAnsi="Times New Roman" w:cs="Times New Roman"/>
          <w:sz w:val="24"/>
          <w:szCs w:val="24"/>
        </w:rPr>
        <w:t>, (2015)</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demonstraram que a degradação do glifosato dissolvido em água era possível com um plasma de arco deslizante.</w:t>
      </w:r>
    </w:p>
    <w:p w14:paraId="3370B904"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ab/>
        <w:t xml:space="preserve">Apesar de exporem o glifosato a técnicas particulares de descarga de plasma não térmico, os autores concluíram que as ligações afetadas pelas espécies reativas formadas no interior do reator foram as ligações formadas entre carbono e nitrogênio e carbono e fósforo (fig. 4). </w:t>
      </w:r>
    </w:p>
    <w:p w14:paraId="067692B7" w14:textId="77777777" w:rsidR="00211450" w:rsidRPr="00211450" w:rsidRDefault="00211450" w:rsidP="00211450">
      <w:pPr>
        <w:jc w:val="both"/>
        <w:rPr>
          <w:rFonts w:ascii="Times New Roman" w:hAnsi="Times New Roman" w:cs="Times New Roman"/>
          <w:sz w:val="24"/>
          <w:szCs w:val="24"/>
        </w:rPr>
      </w:pPr>
    </w:p>
    <w:p w14:paraId="0DE73C2B"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Fig.4 – Ligações mais afetadas pelas espécies reativas formadas pela descarga de PNT</w:t>
      </w:r>
    </w:p>
    <w:p w14:paraId="7AFBEE3F"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noProof/>
          <w:sz w:val="24"/>
          <w:szCs w:val="24"/>
        </w:rPr>
        <w:drawing>
          <wp:inline distT="0" distB="0" distL="0" distR="0" wp14:anchorId="08C9B510" wp14:editId="3D33D15F">
            <wp:extent cx="2924633" cy="1435396"/>
            <wp:effectExtent l="0" t="0" r="0" b="0"/>
            <wp:docPr id="21" name="Imagem 21"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esenho de uma pessoa&#10;&#10;Descrição gerada automaticamente com confiança mé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7687" cy="1481066"/>
                    </a:xfrm>
                    <a:prstGeom prst="rect">
                      <a:avLst/>
                    </a:prstGeom>
                    <a:noFill/>
                    <a:ln>
                      <a:noFill/>
                    </a:ln>
                  </pic:spPr>
                </pic:pic>
              </a:graphicData>
            </a:graphic>
          </wp:inline>
        </w:drawing>
      </w:r>
    </w:p>
    <w:p w14:paraId="2DEFE2AB"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Fonte: Autor, (2022)</w:t>
      </w:r>
    </w:p>
    <w:p w14:paraId="66D796A8"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ab/>
        <w:t>Os autores relatam que de todas as espécies reativas formadas pela descarga de PNT, os radicais hidroxila (</w:t>
      </w:r>
      <m:oMath>
        <m:r>
          <m:rPr>
            <m:nor/>
          </m:rPr>
          <w:rPr>
            <w:rFonts w:ascii="Times New Roman" w:hAnsi="Times New Roman" w:cs="Times New Roman"/>
            <w:iCs/>
            <w:sz w:val="24"/>
            <w:szCs w:val="24"/>
          </w:rPr>
          <m:t>O</m:t>
        </m:r>
        <m:sSup>
          <m:sSupPr>
            <m:ctrlPr>
              <w:rPr>
                <w:rFonts w:ascii="Cambria Math" w:hAnsi="Cambria Math" w:cs="Times New Roman"/>
                <w:iCs/>
                <w:sz w:val="24"/>
                <w:szCs w:val="24"/>
              </w:rPr>
            </m:ctrlPr>
          </m:sSupPr>
          <m:e>
            <m:r>
              <m:rPr>
                <m:nor/>
              </m:rPr>
              <w:rPr>
                <w:rFonts w:ascii="Times New Roman" w:hAnsi="Times New Roman" w:cs="Times New Roman"/>
                <w:iCs/>
                <w:sz w:val="24"/>
                <w:szCs w:val="24"/>
              </w:rPr>
              <m:t>H</m:t>
            </m:r>
          </m:e>
          <m:sup>
            <m:r>
              <m:rPr>
                <m:nor/>
              </m:rPr>
              <w:rPr>
                <w:rFonts w:ascii="Times New Roman" w:hAnsi="Times New Roman" w:cs="Times New Roman"/>
                <w:iCs/>
                <w:sz w:val="24"/>
                <w:szCs w:val="24"/>
              </w:rPr>
              <m:t>•</m:t>
            </m:r>
          </m:sup>
        </m:sSup>
      </m:oMath>
      <w:r w:rsidRPr="00211450">
        <w:rPr>
          <w:rFonts w:ascii="Times New Roman" w:hAnsi="Times New Roman" w:cs="Times New Roman"/>
          <w:iCs/>
          <w:sz w:val="24"/>
          <w:szCs w:val="24"/>
        </w:rPr>
        <w:t>) e óxido de nitrogênio (</w:t>
      </w:r>
      <m:oMath>
        <m:r>
          <m:rPr>
            <m:nor/>
          </m:rPr>
          <w:rPr>
            <w:rFonts w:ascii="Times New Roman" w:hAnsi="Times New Roman" w:cs="Times New Roman"/>
            <w:sz w:val="24"/>
            <w:szCs w:val="24"/>
          </w:rPr>
          <m:t>N</m:t>
        </m:r>
        <m:sSup>
          <m:sSupPr>
            <m:ctrlPr>
              <w:rPr>
                <w:rFonts w:ascii="Cambria Math" w:hAnsi="Cambria Math" w:cs="Times New Roman"/>
                <w:iCs/>
                <w:sz w:val="24"/>
                <w:szCs w:val="24"/>
              </w:rPr>
            </m:ctrlPr>
          </m:sSupPr>
          <m:e>
            <m:r>
              <m:rPr>
                <m:nor/>
              </m:rPr>
              <w:rPr>
                <w:rFonts w:ascii="Times New Roman" w:hAnsi="Times New Roman" w:cs="Times New Roman"/>
                <w:iCs/>
                <w:sz w:val="24"/>
                <w:szCs w:val="24"/>
              </w:rPr>
              <m:t>O</m:t>
            </m:r>
          </m:e>
          <m:sup>
            <m:r>
              <m:rPr>
                <m:nor/>
              </m:rPr>
              <w:rPr>
                <w:rFonts w:ascii="Times New Roman" w:hAnsi="Times New Roman" w:cs="Times New Roman"/>
                <w:iCs/>
                <w:sz w:val="24"/>
                <w:szCs w:val="24"/>
              </w:rPr>
              <m:t>•</m:t>
            </m:r>
          </m:sup>
        </m:sSup>
      </m:oMath>
      <w:r w:rsidRPr="00211450">
        <w:rPr>
          <w:rFonts w:ascii="Times New Roman" w:hAnsi="Times New Roman" w:cs="Times New Roman"/>
          <w:iCs/>
          <w:sz w:val="24"/>
          <w:szCs w:val="24"/>
        </w:rPr>
        <w:t>), o peróxido de hidrogênio (</w:t>
      </w:r>
      <m:oMath>
        <m:sSub>
          <m:sSubPr>
            <m:ctrlPr>
              <w:rPr>
                <w:rFonts w:ascii="Cambria Math" w:hAnsi="Cambria Math" w:cs="Times New Roman"/>
                <w:sz w:val="24"/>
                <w:szCs w:val="24"/>
              </w:rPr>
            </m:ctrlPr>
          </m:sSubPr>
          <m:e>
            <m:r>
              <m:rPr>
                <m:nor/>
              </m:rPr>
              <w:rPr>
                <w:rFonts w:ascii="Times New Roman" w:hAnsi="Times New Roman" w:cs="Times New Roman"/>
                <w:sz w:val="24"/>
                <w:szCs w:val="24"/>
              </w:rPr>
              <m:t>H</m:t>
            </m:r>
          </m:e>
          <m:sub>
            <m:r>
              <m:rPr>
                <m:nor/>
              </m:rPr>
              <w:rPr>
                <w:rFonts w:ascii="Times New Roman" w:hAnsi="Times New Roman" w:cs="Times New Roman"/>
                <w:sz w:val="24"/>
                <w:szCs w:val="24"/>
              </w:rPr>
              <m:t>2</m:t>
            </m:r>
          </m:sub>
        </m:sSub>
        <m:sSub>
          <m:sSubPr>
            <m:ctrlPr>
              <w:rPr>
                <w:rFonts w:ascii="Cambria Math" w:hAnsi="Cambria Math" w:cs="Times New Roman"/>
                <w:sz w:val="24"/>
                <w:szCs w:val="24"/>
              </w:rPr>
            </m:ctrlPr>
          </m:sSubPr>
          <m:e>
            <m:r>
              <m:rPr>
                <m:nor/>
              </m:rPr>
              <w:rPr>
                <w:rFonts w:ascii="Times New Roman" w:hAnsi="Times New Roman" w:cs="Times New Roman"/>
                <w:sz w:val="24"/>
                <w:szCs w:val="24"/>
              </w:rPr>
              <m:t>O</m:t>
            </m:r>
          </m:e>
          <m:sub>
            <m:r>
              <m:rPr>
                <m:nor/>
              </m:rPr>
              <w:rPr>
                <w:rFonts w:ascii="Times New Roman" w:hAnsi="Times New Roman" w:cs="Times New Roman"/>
                <w:sz w:val="24"/>
                <w:szCs w:val="24"/>
              </w:rPr>
              <m:t>2</m:t>
            </m:r>
          </m:sub>
        </m:sSub>
      </m:oMath>
      <w:r w:rsidRPr="00211450">
        <w:rPr>
          <w:rFonts w:ascii="Times New Roman" w:hAnsi="Times New Roman" w:cs="Times New Roman"/>
          <w:sz w:val="24"/>
          <w:szCs w:val="24"/>
        </w:rPr>
        <w:t>) e o ozônio (</w:t>
      </w:r>
      <m:oMath>
        <m:sSub>
          <m:sSubPr>
            <m:ctrlPr>
              <w:rPr>
                <w:rFonts w:ascii="Cambria Math" w:hAnsi="Cambria Math" w:cs="Times New Roman"/>
                <w:sz w:val="24"/>
                <w:szCs w:val="24"/>
              </w:rPr>
            </m:ctrlPr>
          </m:sSubPr>
          <m:e>
            <m:r>
              <m:rPr>
                <m:nor/>
              </m:rPr>
              <w:rPr>
                <w:rFonts w:ascii="Times New Roman" w:hAnsi="Times New Roman" w:cs="Times New Roman"/>
                <w:sz w:val="24"/>
                <w:szCs w:val="24"/>
              </w:rPr>
              <m:t>O</m:t>
            </m:r>
          </m:e>
          <m:sub>
            <m:r>
              <m:rPr>
                <m:nor/>
              </m:rPr>
              <w:rPr>
                <w:rFonts w:ascii="Times New Roman" w:hAnsi="Times New Roman" w:cs="Times New Roman"/>
                <w:sz w:val="24"/>
                <w:szCs w:val="24"/>
              </w:rPr>
              <m:t>3</m:t>
            </m:r>
          </m:sub>
        </m:sSub>
      </m:oMath>
      <w:r w:rsidRPr="00211450">
        <w:rPr>
          <w:rFonts w:ascii="Times New Roman" w:hAnsi="Times New Roman" w:cs="Times New Roman"/>
          <w:sz w:val="24"/>
          <w:szCs w:val="24"/>
        </w:rPr>
        <w:t xml:space="preserve">), que são formadas devido à colisão de elétrons energeticamente carregados com átomos e moléculas do gás </w:t>
      </w:r>
      <w:proofErr w:type="spellStart"/>
      <w:r w:rsidRPr="00211450">
        <w:rPr>
          <w:rFonts w:ascii="Times New Roman" w:hAnsi="Times New Roman" w:cs="Times New Roman"/>
          <w:sz w:val="24"/>
          <w:szCs w:val="24"/>
        </w:rPr>
        <w:t>plasmogênico</w:t>
      </w:r>
      <w:proofErr w:type="spellEnd"/>
      <w:r w:rsidRPr="00211450">
        <w:rPr>
          <w:rFonts w:ascii="Times New Roman" w:hAnsi="Times New Roman" w:cs="Times New Roman"/>
          <w:sz w:val="24"/>
          <w:szCs w:val="24"/>
        </w:rPr>
        <w:t xml:space="preserve">, foram as responsáveis por efetivamente romper as ligações entre os átomos e degradar do glifosato. </w:t>
      </w:r>
    </w:p>
    <w:p w14:paraId="77BB9161"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ab/>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{"citationItems":[{"id":"ITEM-1","itemData":{"DOI":"10.1016/j.jhazmat.2016.08.067","ISSN":"18733336","PMID":"27597154","abstract":"Glyphosate was one of the most widely used herbicides in the world. Remediation of glyphosate-contaminated soil was conducted using atmospheric pressure dielectric barrier discharge (DBD) plasma. The feasibility of glyphosate degradation in soil was explored, and the soil leachate toxicity after remediation was assessed via a seed germination test. The experimental results showed that approximately 93.9% of glyphosate was degraded within 45 min of DBD plasma treatment with an energy yield of 0.47 g kWh−1, and the degradation process fitted the first-order kinetic model. Increasing the discharge voltage and decreasing the organic matter content of the soil were both found to facilitate glyphosate degradation. There existed appropriate soil moisture to realize high glyphosate degradation efficiency. Glyphosate mineralization was confirmed by changes of total organic carbon (TOC), chemical oxygen demand (COD), PO43− and NO3−. The degradation intermediates including glycine, aminomethylphosphonic acid, acetic acid, formic acid, PO43− and NO3−, CO2 and CO were observed. A possible pathway for glyphosate degradation in the soil using this system was proposed. Based on the soil leachate toxicity test using wheat seed germination, the soil did not exhibit any hazardous effects following high-efficiency glyphosate degradation.","author":[{"dropping-particle":"","family":"Wang","given":"Tiecheng","non-dropping-particle":"","parse-names":false,"suffix":""},{"dropping-particle":"","family":"Ren","given":"Jingyu","non-dropping-particle":"","parse-names":false,"suffix":""},{"dropping-particle":"","family":"Qu","given":"Guangzhou","non-dropping-particle":"","parse-names":false,"suffix":""},{"dropping-particle":"","family":"Liang","given":"Dongli","non-dropping-particle":"","parse-names":false,"suffix":""},{"dropping-particle":"","family":"Hu","given":"Shibin","non-dropping-particle":"","parse-names":false,"suffix":""}],"container-title":"Journal of Hazardous Materials","id":"ITEM-1","issued":{"date-parts":[["2016"]]},"page":"539-546","publisher":"Elsevier B.V.","title":"Glyphosate contaminated soil remediation by atmospheric pressure dielectric barrier discharge plasma and its residual toxicity evaluation","type":"article-journal","volume":"320"},"uris":["http://www.mendeley.com/documents/?uuid=fd2029ce-3306-45e9-93b6-994b058fa42c"]}],"mendeley":{"formattedCitation":"(WANG, T. &lt;i&gt;et al.&lt;/i&gt;, 2016)","manualFormatting":"Wang, T. et al., (2016)","plainTextFormattedCitation":"(WANG, T. et al., 2016)","previouslyFormattedCitation":"(WANG, T. &lt;i&gt;et al.&lt;/i&gt;, 2016)"},"properties":{"noteIndex":0},"schema":"https://github.com/citation-style-language/schema/raw/master/csl-citation.json"}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Wang, T. </w:t>
      </w:r>
      <w:r w:rsidRPr="00211450">
        <w:rPr>
          <w:rFonts w:ascii="Times New Roman" w:hAnsi="Times New Roman" w:cs="Times New Roman"/>
          <w:i/>
          <w:sz w:val="24"/>
          <w:szCs w:val="24"/>
        </w:rPr>
        <w:t>et al.</w:t>
      </w:r>
      <w:r w:rsidRPr="00211450">
        <w:rPr>
          <w:rFonts w:ascii="Times New Roman" w:hAnsi="Times New Roman" w:cs="Times New Roman"/>
          <w:sz w:val="24"/>
          <w:szCs w:val="24"/>
        </w:rPr>
        <w:t>, (2016)</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relataram que a quebra da molécula de glifosato nas ligações C-N e C-P resultou na formação de ácido </w:t>
      </w:r>
      <w:proofErr w:type="spellStart"/>
      <w:r w:rsidRPr="00211450">
        <w:rPr>
          <w:rFonts w:ascii="Times New Roman" w:hAnsi="Times New Roman" w:cs="Times New Roman"/>
          <w:sz w:val="24"/>
          <w:szCs w:val="24"/>
        </w:rPr>
        <w:t>aminometilfosfônico</w:t>
      </w:r>
      <w:proofErr w:type="spellEnd"/>
      <w:r w:rsidRPr="00211450">
        <w:rPr>
          <w:rFonts w:ascii="Times New Roman" w:hAnsi="Times New Roman" w:cs="Times New Roman"/>
          <w:sz w:val="24"/>
          <w:szCs w:val="24"/>
        </w:rPr>
        <w:t xml:space="preserve"> (AMPA), glicina, ácido fórmico e ácido acético, acompanhados da liberação de fosfatos e nitratos.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author":[{"dropping-particle":"","family":"Fouodjouo","given":"Moïse","non-dropping-particle":"","parse-names":false,"suffix":""},{"dropping-particle":"","family":"Laminsi","given":"Samuel","non-dropping-particle":"","parse-names":false,"suffix":""},{"dropping-particle":"","family":"Kamgang","given":"Georges Y.","non-dropping-particle":"","parse-names":false,"suffix":""},{"dropping-particle":"","family":"Mengue","given":"Michele T.","non-dropping-particle":"","parse-names":false,"suffix":""},{"dropping-particle":"","family":"Debacher","given":"Nito A.","non-dropping-particle":"","parse-names":false,"suffix":""}],"container-title":"Journal of the Brazilian Chemical Society","id":"ITEM-1","issue":"3","issued":{"date-parts":[["2015"]]},"page":"411-419","title":"Non-Thermal Plasma Induced Total Mineralization of Glyphosate in Water in the Presence of Iron II Ions","type":"article-journal","volume":"26"},"uris":["http://www.mendeley.com/documents/?uuid=6a461cb6-6c79-422c-aaca-1dda3e790c74"]}],"mendeley":{"formattedCitation":"(FOUODJOUO &lt;i&gt;et al.&lt;/i&gt;, 2015)","manualFormatting":"Fouodjouo et al., (2015)","plainTextFormattedCitation":"(FOUODJOUO et al., 2015)","previouslyFormattedCitation":"(FOUODJOUO &lt;i&gt;et al.&lt;/i&gt;, 2015)"},"properties":{"noteIndex":0},"schema":"https://github.com/citation-style-language/schema/raw/master/csl-citation.json"}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Fouodjouo </w:t>
      </w:r>
      <w:r w:rsidRPr="00211450">
        <w:rPr>
          <w:rFonts w:ascii="Times New Roman" w:hAnsi="Times New Roman" w:cs="Times New Roman"/>
          <w:i/>
          <w:sz w:val="24"/>
          <w:szCs w:val="24"/>
        </w:rPr>
        <w:t>et al.</w:t>
      </w:r>
      <w:r w:rsidRPr="00211450">
        <w:rPr>
          <w:rFonts w:ascii="Times New Roman" w:hAnsi="Times New Roman" w:cs="Times New Roman"/>
          <w:sz w:val="24"/>
          <w:szCs w:val="24"/>
        </w:rPr>
        <w:t>, (2015)</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e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{"citationItems":[{"id":"ITEM-1","itemData":{"DOI":"10.2166/wst.2021.320","ISSN":"19969732","PMID":"34534124","abstract":"Glyphosate (GLP) is one of the most widely applied herbicides, and is found ubiquitously in the environment. The removal of glyphosate from waste water and soil is challenging and can be achieved with chemical or biological methods, which, nevertheless, suffer from different disadvantages. The application of a physical plasma for the removal of GLP in water was examined by the application of surface corona discharges in a wire-to-cylinder setup filled with argon. The plasma was ignited at the liquid surface without any additives. By applying a photometric method, GLP was detected after derivatisation with fluorenyl methoxycarbonyl chloride, whereas phosphate was determined with ammonium molybdate. A GLP degradation rate of 90.8% could be achieved within a treatment time of 30 minutes with an estimated energy efficiency of 0.32 g/kWh.","author":[{"dropping-particle":"","family":"Zocher","given":"Katja","non-dropping-particle":"","parse-names":false,"suffix":""},{"dropping-particle":"","family":"Gros","given":"Peter","non-dropping-particle":"","parse-names":false,"suffix":""},{"dropping-particle":"","family":"Werneburg","given":"Matthias","non-dropping-particle":"","parse-names":false,"suffix":""},{"dropping-particle":"","family":"Brüser","given":"Volker","non-dropping-particle":"","parse-names":false,"suffix":""},{"dropping-particle":"","family":"Kolb","given":"Juergen F.","non-dropping-particle":"","parse-names":false,"suffix":""},{"dropping-particle":"","family":"Leinweber","given":"Peter","non-dropping-particle":"","parse-names":false,"suffix":""}],"container-title":"Water Science and Technology","id":"ITEM-1","issue":"5","issued":{"date-parts":[["2021"]]},"page":"1293-1301","title":"Degradation of glyphosate in water by the application of surface corona discharges","type":"article-journal","volume":"84"},"uris":["http://www.mendeley.com/documents/?uuid=1cbb3da9-753e-49ed-a125-5317ffefd324"]}],"mendeley":{"formattedCitation":"(ZOCHER &lt;i&gt;et al.&lt;/i&gt;, 2021)","manualFormatting":"Zocher et al., (2021)","plainTextFormattedCitation":"(ZOCHER et al., 2021)","previouslyFormattedCitation":"(ZOCHER &lt;i&gt;et al.&lt;/i&gt;, 2021)"},"properties":{"noteIndex":0},"schema":"https://github.com/citation-style-language/schema/raw/master/csl-citation.json"}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Zocher </w:t>
      </w:r>
      <w:r w:rsidRPr="00211450">
        <w:rPr>
          <w:rFonts w:ascii="Times New Roman" w:hAnsi="Times New Roman" w:cs="Times New Roman"/>
          <w:i/>
          <w:sz w:val="24"/>
          <w:szCs w:val="24"/>
        </w:rPr>
        <w:t>et al.</w:t>
      </w:r>
      <w:r w:rsidRPr="00211450">
        <w:rPr>
          <w:rFonts w:ascii="Times New Roman" w:hAnsi="Times New Roman" w:cs="Times New Roman"/>
          <w:sz w:val="24"/>
          <w:szCs w:val="24"/>
        </w:rPr>
        <w:t>, (2021)</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obtiveram resultado semelhante ao encontrado por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{"citationItems":[{"id":"ITEM-1","itemData":{"DOI":"10.1016/j.jhazmat.2016.08.067","ISSN":"18733336","PMID":"27597154","abstract":"Glyphosate was one of the most widely used herbicides in the world. Remediation of glyphosate-contaminated soil was conducted using atmospheric pressure dielectric barrier discharge (DBD) plasma. The feasibility of glyphosate degradation in soil was explored, and the soil leachate toxicity after remediation was assessed via a seed germination test. The experimental results showed that approximately 93.9% of glyphosate was degraded within 45 min of DBD plasma treatment with an energy yield of 0.47 g kWh−1, and the degradation process fitted the first-order kinetic model. Increasing the discharge voltage and decreasing the organic matter content of the soil were both found to facilitate glyphosate degradation. There existed appropriate soil moisture to realize high glyphosate degradation efficiency. Glyphosate mineralization was confirmed by changes of total organic carbon (TOC), chemical oxygen demand (COD), PO43− and NO3−. The degradation intermediates including glycine, aminomethylphosphonic acid, acetic acid, formic acid, PO43− and NO3−, CO2 and CO were observed. A possible pathway for glyphosate degradation in the soil using this system was proposed. Based on the soil leachate toxicity test using wheat seed germination, the soil did not exhibit any hazardous effects following high-efficiency glyphosate degradation.","author":[{"dropping-particle":"","family":"Wang","given":"Tiecheng","non-dropping-particle":"","parse-names":false,"suffix":""},{"dropping-particle":"","family":"Ren","given":"Jingyu","non-dropping-particle":"","parse-names":false,"suffix":""},{"dropping-particle":"","family":"Qu","given":"Guangzhou","non-dropping-particle":"","parse-names":false,"suffix":""},{"dropping-particle":"","family":"Liang","given":"Dongli","non-dropping-particle":"","parse-names":false,"suffix":""},{"dropping-particle":"","family":"Hu","given":"Shibin","non-dropping-particle":"","parse-names":false,"suffix":""}],"container-title":"Journal of Hazardous Materials","id":"ITEM-1","issued":{"date-parts":[["2016"]]},"page":"539-546","publisher":"Elsevier B.V.","title":"Glyphosate contaminated soil remediation by atmospheric pressure dielectric barrier discharge plasma and its residual toxicity evaluation","type":"article-journal","volume":"320"},"uris":["http://www.mendeley.com/documents/?uuid=fd2029ce-3306-45e9-93b6-994b058fa42c"]}],"mendeley":{"formattedCitation":"(WANG, T. &lt;i&gt;et al.&lt;/i&gt;, 2016)","manualFormatting":"Wang, T. et al., (2016)","plainTextFormattedCitation":"(WANG, T. et al., 2016)","previouslyFormattedCitation":"(WANG, T. &lt;i&gt;et al.&lt;/i&gt;, 2016)"},"properties":{"noteIndex":0},"schema":"https://github.com/citation-style-language/schema/raw/master/csl-citation.json"}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Wang, T. </w:t>
      </w:r>
      <w:r w:rsidRPr="00211450">
        <w:rPr>
          <w:rFonts w:ascii="Times New Roman" w:hAnsi="Times New Roman" w:cs="Times New Roman"/>
          <w:i/>
          <w:sz w:val="24"/>
          <w:szCs w:val="24"/>
        </w:rPr>
        <w:t>et al.</w:t>
      </w:r>
      <w:r w:rsidRPr="00211450">
        <w:rPr>
          <w:rFonts w:ascii="Times New Roman" w:hAnsi="Times New Roman" w:cs="Times New Roman"/>
          <w:sz w:val="24"/>
          <w:szCs w:val="24"/>
        </w:rPr>
        <w:t>, (2016)</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e relataram que a quebra da molécula de glifosato nessas ligações resultou no incremento na concentração de </w:t>
      </w:r>
      <w:proofErr w:type="spellStart"/>
      <w:r w:rsidRPr="00211450">
        <w:rPr>
          <w:rFonts w:ascii="Times New Roman" w:hAnsi="Times New Roman" w:cs="Times New Roman"/>
          <w:sz w:val="24"/>
          <w:szCs w:val="24"/>
        </w:rPr>
        <w:t>ortofosfatos</w:t>
      </w:r>
      <w:proofErr w:type="spellEnd"/>
      <w:r w:rsidRPr="00211450">
        <w:rPr>
          <w:rFonts w:ascii="Times New Roman" w:hAnsi="Times New Roman" w:cs="Times New Roman"/>
          <w:sz w:val="24"/>
          <w:szCs w:val="24"/>
        </w:rPr>
        <w:t>, fato que utilizaram como subsídio para concluir que houve degradação do ingrediente ativo após a exposição ao plasma não térmico.</w:t>
      </w:r>
    </w:p>
    <w:p w14:paraId="3ACCCC45" w14:textId="77777777" w:rsidR="00FA42AD" w:rsidRDefault="00FA42AD" w:rsidP="00211450">
      <w:pPr>
        <w:jc w:val="both"/>
        <w:rPr>
          <w:rFonts w:ascii="Times New Roman" w:hAnsi="Times New Roman" w:cs="Times New Roman"/>
          <w:b/>
          <w:bCs/>
          <w:sz w:val="24"/>
          <w:szCs w:val="24"/>
        </w:rPr>
      </w:pPr>
      <w:bookmarkStart w:id="1" w:name="_Toc125914398"/>
      <w:r>
        <w:rPr>
          <w:rFonts w:ascii="Times New Roman" w:hAnsi="Times New Roman" w:cs="Times New Roman"/>
          <w:b/>
          <w:bCs/>
          <w:sz w:val="24"/>
          <w:szCs w:val="24"/>
        </w:rPr>
        <w:tab/>
      </w:r>
    </w:p>
    <w:p w14:paraId="71C53B15" w14:textId="5DC55898" w:rsidR="00211450" w:rsidRPr="00211450" w:rsidRDefault="00FA42AD" w:rsidP="00211450">
      <w:pPr>
        <w:jc w:val="both"/>
        <w:rPr>
          <w:rFonts w:ascii="Times New Roman" w:hAnsi="Times New Roman" w:cs="Times New Roman"/>
          <w:b/>
          <w:bCs/>
          <w:sz w:val="24"/>
          <w:szCs w:val="24"/>
        </w:rPr>
      </w:pPr>
      <w:r>
        <w:rPr>
          <w:rFonts w:ascii="Times New Roman" w:hAnsi="Times New Roman" w:cs="Times New Roman"/>
          <w:b/>
          <w:bCs/>
          <w:sz w:val="24"/>
          <w:szCs w:val="24"/>
        </w:rPr>
        <w:lastRenderedPageBreak/>
        <w:tab/>
      </w:r>
      <w:r w:rsidR="00211450" w:rsidRPr="00211450">
        <w:rPr>
          <w:rFonts w:ascii="Times New Roman" w:hAnsi="Times New Roman" w:cs="Times New Roman"/>
          <w:b/>
          <w:bCs/>
          <w:sz w:val="24"/>
          <w:szCs w:val="24"/>
        </w:rPr>
        <w:t>Condutividade elétrica</w:t>
      </w:r>
      <w:bookmarkEnd w:id="1"/>
    </w:p>
    <w:p w14:paraId="367896C8"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b/>
          <w:bCs/>
          <w:sz w:val="24"/>
          <w:szCs w:val="24"/>
        </w:rPr>
        <w:tab/>
      </w:r>
      <w:r w:rsidRPr="00211450">
        <w:rPr>
          <w:rFonts w:ascii="Times New Roman" w:hAnsi="Times New Roman" w:cs="Times New Roman"/>
          <w:sz w:val="24"/>
          <w:szCs w:val="24"/>
        </w:rPr>
        <w:t xml:space="preserve">A condutividade elétrica (CE) determinada na </w:t>
      </w:r>
      <w:proofErr w:type="gramStart"/>
      <w:r w:rsidRPr="00211450">
        <w:rPr>
          <w:rFonts w:ascii="Times New Roman" w:hAnsi="Times New Roman" w:cs="Times New Roman"/>
          <w:sz w:val="24"/>
          <w:szCs w:val="24"/>
        </w:rPr>
        <w:t>amostras bruta</w:t>
      </w:r>
      <w:proofErr w:type="gramEnd"/>
      <w:r w:rsidRPr="00211450">
        <w:rPr>
          <w:rFonts w:ascii="Times New Roman" w:hAnsi="Times New Roman" w:cs="Times New Roman"/>
          <w:sz w:val="24"/>
          <w:szCs w:val="24"/>
        </w:rPr>
        <w:t xml:space="preserve"> e após tratamento de PNT de 5 minutos, 15 minutos e 45 minutos foram de 47,40 ± 0,21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 xml:space="preserve"> µS.cm</m:t>
            </m:r>
          </m:e>
          <m:sup>
            <m:r>
              <m:rPr>
                <m:nor/>
              </m:rPr>
              <w:rPr>
                <w:rFonts w:ascii="Times New Roman" w:hAnsi="Times New Roman" w:cs="Times New Roman"/>
                <w:sz w:val="24"/>
                <w:szCs w:val="24"/>
              </w:rPr>
              <m:t>-1</m:t>
            </m:r>
          </m:sup>
        </m:sSup>
      </m:oMath>
      <w:r w:rsidRPr="00211450">
        <w:rPr>
          <w:rFonts w:ascii="Times New Roman" w:hAnsi="Times New Roman" w:cs="Times New Roman"/>
          <w:sz w:val="24"/>
          <w:szCs w:val="24"/>
        </w:rPr>
        <w:t xml:space="preserve">, 117,43 ± 21,08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 xml:space="preserve"> µS.cm</m:t>
            </m:r>
          </m:e>
          <m:sup>
            <m:r>
              <m:rPr>
                <m:nor/>
              </m:rPr>
              <w:rPr>
                <w:rFonts w:ascii="Times New Roman" w:hAnsi="Times New Roman" w:cs="Times New Roman"/>
                <w:sz w:val="24"/>
                <w:szCs w:val="24"/>
              </w:rPr>
              <m:t>-1</m:t>
            </m:r>
          </m:sup>
        </m:sSup>
      </m:oMath>
      <w:r w:rsidRPr="00211450">
        <w:rPr>
          <w:rFonts w:ascii="Times New Roman" w:hAnsi="Times New Roman" w:cs="Times New Roman"/>
          <w:sz w:val="24"/>
          <w:szCs w:val="24"/>
        </w:rPr>
        <w:t xml:space="preserve">, 269,33 ± 25,53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 xml:space="preserve"> µS.cm</m:t>
            </m:r>
          </m:e>
          <m:sup>
            <m:r>
              <m:rPr>
                <m:nor/>
              </m:rPr>
              <w:rPr>
                <w:rFonts w:ascii="Times New Roman" w:hAnsi="Times New Roman" w:cs="Times New Roman"/>
                <w:sz w:val="24"/>
                <w:szCs w:val="24"/>
              </w:rPr>
              <m:t>-1</m:t>
            </m:r>
          </m:sup>
        </m:sSup>
      </m:oMath>
      <w:r w:rsidRPr="00211450">
        <w:rPr>
          <w:rFonts w:ascii="Times New Roman" w:hAnsi="Times New Roman" w:cs="Times New Roman"/>
          <w:sz w:val="24"/>
          <w:szCs w:val="24"/>
        </w:rPr>
        <w:t xml:space="preserve"> e 808,00 ± 32,26 </w:t>
      </w:r>
      <m:oMath>
        <m:sSup>
          <m:sSupPr>
            <m:ctrlPr>
              <w:rPr>
                <w:rFonts w:ascii="Cambria Math" w:hAnsi="Cambria Math" w:cs="Times New Roman"/>
                <w:i/>
                <w:sz w:val="24"/>
                <w:szCs w:val="24"/>
              </w:rPr>
            </m:ctrlPr>
          </m:sSupPr>
          <m:e>
            <m:r>
              <m:rPr>
                <m:nor/>
              </m:rPr>
              <w:rPr>
                <w:rFonts w:ascii="Times New Roman" w:hAnsi="Times New Roman" w:cs="Times New Roman"/>
                <w:sz w:val="24"/>
                <w:szCs w:val="24"/>
              </w:rPr>
              <m:t xml:space="preserve"> µS.cm</m:t>
            </m:r>
          </m:e>
          <m:sup>
            <m:r>
              <m:rPr>
                <m:nor/>
              </m:rPr>
              <w:rPr>
                <w:rFonts w:ascii="Times New Roman" w:hAnsi="Times New Roman" w:cs="Times New Roman"/>
                <w:sz w:val="24"/>
                <w:szCs w:val="24"/>
              </w:rPr>
              <m:t>-1</m:t>
            </m:r>
          </m:sup>
        </m:sSup>
      </m:oMath>
      <w:r w:rsidRPr="00211450">
        <w:rPr>
          <w:rFonts w:ascii="Times New Roman" w:hAnsi="Times New Roman" w:cs="Times New Roman"/>
          <w:sz w:val="24"/>
          <w:szCs w:val="24"/>
        </w:rPr>
        <w:t>, o que representa um aumento de 147,75% ± 46,16%, 468,21% ± 47,53%, e 1.604,64% ± 68,06% (fig. 5).</w:t>
      </w:r>
    </w:p>
    <w:p w14:paraId="4B3D3DC3" w14:textId="77777777" w:rsidR="00211450" w:rsidRPr="00211450" w:rsidRDefault="00211450" w:rsidP="00211450">
      <w:pPr>
        <w:jc w:val="both"/>
        <w:rPr>
          <w:rFonts w:ascii="Times New Roman" w:hAnsi="Times New Roman" w:cs="Times New Roman"/>
          <w:sz w:val="24"/>
          <w:szCs w:val="24"/>
        </w:rPr>
      </w:pPr>
    </w:p>
    <w:p w14:paraId="07774A25" w14:textId="77777777" w:rsidR="00211450" w:rsidRPr="00211450" w:rsidRDefault="00211450" w:rsidP="00211450">
      <w:pPr>
        <w:jc w:val="both"/>
        <w:rPr>
          <w:rFonts w:ascii="Times New Roman" w:hAnsi="Times New Roman" w:cs="Times New Roman"/>
          <w:sz w:val="24"/>
          <w:szCs w:val="24"/>
        </w:rPr>
      </w:pPr>
    </w:p>
    <w:p w14:paraId="06641AED"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Fig. 5 – Aumento da CE</w:t>
      </w:r>
    </w:p>
    <w:p w14:paraId="4969B364"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noProof/>
          <w:sz w:val="24"/>
          <w:szCs w:val="24"/>
        </w:rPr>
        <w:drawing>
          <wp:inline distT="0" distB="0" distL="0" distR="0" wp14:anchorId="07F409F3" wp14:editId="382E59FD">
            <wp:extent cx="3641090" cy="2184355"/>
            <wp:effectExtent l="0" t="0" r="16510" b="6985"/>
            <wp:docPr id="2" name="Gráfico 2">
              <a:extLst xmlns:a="http://schemas.openxmlformats.org/drawingml/2006/main">
                <a:ext uri="{FF2B5EF4-FFF2-40B4-BE49-F238E27FC236}">
                  <a16:creationId xmlns:a16="http://schemas.microsoft.com/office/drawing/2014/main" id="{D1C3D400-D00D-DBD7-8728-4AF0D4768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13CD21"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Fonte: Autor, (2022)</w:t>
      </w:r>
    </w:p>
    <w:p w14:paraId="4DB167F8" w14:textId="77777777" w:rsidR="00211450" w:rsidRPr="00211450" w:rsidRDefault="00211450" w:rsidP="00211450">
      <w:pPr>
        <w:jc w:val="both"/>
        <w:rPr>
          <w:rFonts w:ascii="Times New Roman" w:hAnsi="Times New Roman" w:cs="Times New Roman"/>
          <w:sz w:val="24"/>
          <w:szCs w:val="24"/>
        </w:rPr>
      </w:pPr>
    </w:p>
    <w:p w14:paraId="29EE6E09"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ab/>
        <w:t xml:space="preserve">Após a exposição ao tratamento com PNT foi observada relação entre o tempo de exposição e a CE. Quanto maior o tempo de tratamento, maior a CE da amostra. Diversos autores testemunharam esta tendência como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{"citationItems":[{"id":"ITEM-1","itemData":{"author":[{"dropping-particle":"","family":"Ferreira","given":"João Pedro Silvestri","non-dropping-particle":"","parse-names":false,"suffix":""},{"dropping-particle":"","family":"Wheeler","given":"Rodrigo Menezes","non-dropping-particle":"","parse-names":false,"suffix":""},{"dropping-particle":"","family":"Moecke","given":"Elisa Helena Siegel","non-dropping-particle":"","parse-names":false,"suffix":""}],"chapter-number":"8","container-title":"Agenda de Sustentabilidade no Brasil: conhecimentos teóricos, metodológicos, empíricos","id":"ITEM-1","issued":{"date-parts":[["2021"]]},"page":"233","publisher":"Atena Editora","publisher-place":"Ponta Grossa, PR","title":"Avaliação do efeito do plasma frio na remoção de pesticida em águas para abastecimento público","type":"chapter"},"uris":["http://www.mendeley.com/documents/?uuid=55469c33-ff35-4278-b449-c2f4038a6e67"]}],"mendeley":{"formattedCitation":"(FERREIRA; WHEELER; MOECKE, 2021)","manualFormatting":"FERREIRA; WHEELER; MOECKE, (2021)","plainTextFormattedCitation":"(FERREIRA; WHEELER; MOECKE, 2021)","previouslyFormattedCitation":"(FERREIRA; WHEELER; MOECKE, 2021)"},"properties":{"noteIndex":0},"schema":"https://github.com/citation-style-language/schema/raw/master/csl-citation.json"}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FERREIRA; WHEELER; MOECKE, (2021)</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{"citationItems":[{"id":"ITEM-1","itemData":{"DOI":"10.1016/j.scitotenv.2018.05.342","ISSN":"18791026","abstract":"This study reports the potential of non-thermal atmospheric pressure plasma jet for the bacterial inactivation in an aqueous medium. All experiments were conducted in a reactor containing aqueous solution i.e., water, pre-inoculated with bacterial suspensions and after plasma exposure solution is inoculated in Petrifilm to know the viable count. The plasma jet exposure to the bacterial aqueous solution was carried out under various gases such as helium, argon, air and also in combination as Argon + Air and Helium + Air. In each case, the oxidizing species such as hydrogen peroxide, nitric acid, hydroxyl radicals and ozone formed in the reactor during the plasma exposure were quantified. The effect of applied voltage and gas flow rate were studied to optimize the conditions for its efficacy. The solution pH plays a prominent role in bacterial inactivation, as the process is effective at low pH exhibiting 7 log reduction of bacterial population. The bacterial inactivation is efficient at below the critical pH (&lt;4.7) and the inactivation process becomes less effective if the pH goes above 4.7. Plasma treatment of deionized water produces some reactive species such as hydrogen peroxide and nitrates, this plasma treated water is used to test the bacterial inactivation. Addition of Fe2+ salt to the plasma treated water improves the efficacy by converting hydrogen peroxide to hydroxyl radicals, which serves to be a major contributor to the bacterial inactivation. Especially, Non-thermal plasma offers an alternative way to sterilize vacuum sensitive and thermo-labile living tissues.","author":[{"dropping-particle":"","family":"Chandana","given":"L.","non-dropping-particle":"","parse-names":false,"suffix":""},{"dropping-particle":"","family":"Sangeetha","given":"C. J.","non-dropping-particle":"","parse-names":false,"suffix":""},{"dropping-particle":"","family":"Shashidhar","given":"T.","non-dropping-particle":"","parse-names":false,"suffix":""},{"dropping-particle":"","family":"Subrahmanyam","given":"Ch","non-dropping-particle":"","parse-names":false,"suffix":""}],"container-title":"Science of the Total Environment","id":"ITEM-1","issued":{"date-parts":[["2018"]]},"page":"493-500","publisher":"Elsevier B.V.","title":"Non-thermal atmospheric pressure plasma jet for the bacterial inactivation in an aqueous medium","type":"article-journal","volume":"640-641"},"uris":["http://www.mendeley.com/documents/?uuid=d9189ffb-4f36-43f5-81cf-e7b0850758b1"]}],"mendeley":{"formattedCitation":"(CHANDANA &lt;i&gt;et al.&lt;/i&gt;, 2018)","manualFormatting":"CHANDANA et al., (2018)","plainTextFormattedCitation":"(CHANDANA et al., 2018)","previouslyFormattedCitation":"(CHANDANA &lt;i&gt;et al.&lt;/i&gt;, 2018)"},"properties":{"noteIndex":0},"schema":"https://github.com/citation-style-language/schema/raw/master/csl-citation.json"}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CHANDANA </w:t>
      </w:r>
      <w:r w:rsidRPr="00211450">
        <w:rPr>
          <w:rFonts w:ascii="Times New Roman" w:hAnsi="Times New Roman" w:cs="Times New Roman"/>
          <w:i/>
          <w:sz w:val="24"/>
          <w:szCs w:val="24"/>
        </w:rPr>
        <w:t>et al.</w:t>
      </w:r>
      <w:r w:rsidRPr="00211450">
        <w:rPr>
          <w:rFonts w:ascii="Times New Roman" w:hAnsi="Times New Roman" w:cs="Times New Roman"/>
          <w:sz w:val="24"/>
          <w:szCs w:val="24"/>
        </w:rPr>
        <w:t>, (2018)</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{"citationItems":[{"id":"ITEM-1","itemData":{"DOI":"10.1038/s41598-021-82019-4","ISBN":"0123456789","ISSN":"20452322","PMID":"33536469","abstract":"An argon plasma jet was sustained in open air and characterized for its chemical composition. The optically characterized plasma jet was used to treat industrial wastewater containing mixed textile dyes and heavy metals. Since plasma jet produces UV-radiations, the photocatalytic TiO2 was used to enhance plasma treatment efficiency especially for degradation of dyes. Mixed anatase and rutile phases of TiO2 (5.2–8.5 nm) were produced through surfactant assisted sol–gel approach. The emission spectrum confirmed the presence of excited argon, OH, excited nitrogen, excited oxygen, ozone and nitric oxide in the plasma jet. The spectral lines of excited Ar, NO, O3, OH−, N2, N2+, O, O2+ and O+ species were observed at wavelength of 695–740 nm, 254.3 nm, 307.9 nm, 302–310 nm, 330–380 nm, 390–415 nm, 715.6 nm, 500–600 nm and 400–500 nm. These reactive species decompose the organic pollutants and separate the heavy metals from the water samples. The conductivity of plasma exposed water samples increased while pH and hardness decreased. The atomic absorption spectrophotometry analysis confirmed the presence of heavy metals in the samples, which were effectively removed through plasma treatment. Finally, the effect of plasma treatment on Staphylococcus aureus strains was more pronounced than Escherichia coli strains.","author":[{"dropping-particle":"","family":"Naz","given":"M. Y.","non-dropping-particle":"","parse-names":false,"suffix":""},{"dropping-particle":"","family":"Shukrullah","given":"S.","non-dropping-particle":"","parse-names":false,"suffix":""},{"dropping-particle":"","family":"Rehman","given":"S. U.","non-dropping-particle":"","parse-names":false,"suffix":""},{"dropping-particle":"","family":"Khan","given":"Y.","non-dropping-particle":"","parse-names":false,"suffix":""},{"dropping-particle":"","family":"Al-Arainy","given":"A. A.","non-dropping-particle":"","parse-names":false,"suffix":""},{"dropping-particle":"","family":"Meer","given":"R.","non-dropping-particle":"","parse-names":false,"suffix":""}],"container-title":"Scientific Reports","id":"ITEM-1","issue":"1","issued":{"date-parts":[["2021"]]},"page":"1-13","publisher":"Nature Publishing Group UK","title":"Optical characterization of non-thermal plasma jet energy carriers for effective catalytic processing of industrial wastewaters","type":"article-journal","volume":"11"},"uris":["http://www.mendeley.com/documents/?uuid=dbbf266f-e9ac-4cc7-ba23-df70feb2e4b4"]}],"mendeley":{"formattedCitation":"(NAZ &lt;i&gt;et al.&lt;/i&gt;, 2021)","manualFormatting":"NAZ et al., (2021)","plainTextFormattedCitation":"(NAZ et al., 2021)","previouslyFormattedCitation":"(NAZ &lt;i&gt;et al.&lt;/i&gt;, 2021)"},"properties":{"noteIndex":0},"schema":"https://github.com/citation-style-language/schema/raw/master/csl-citation.json"}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NAZ </w:t>
      </w:r>
      <w:r w:rsidRPr="00211450">
        <w:rPr>
          <w:rFonts w:ascii="Times New Roman" w:hAnsi="Times New Roman" w:cs="Times New Roman"/>
          <w:i/>
          <w:sz w:val="24"/>
          <w:szCs w:val="24"/>
        </w:rPr>
        <w:t>et al.</w:t>
      </w:r>
      <w:r w:rsidRPr="00211450">
        <w:rPr>
          <w:rFonts w:ascii="Times New Roman" w:hAnsi="Times New Roman" w:cs="Times New Roman"/>
          <w:sz w:val="24"/>
          <w:szCs w:val="24"/>
        </w:rPr>
        <w:t>, (2021)</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{"citationItems":[{"id":"ITEM-1","itemData":{"DOI":"10.1016/j.foodchem.2021.129195","ISSN":"18737072","PMID":"33636620","abstract":"This study investigated the effect of plasma-activated liquid (PAL) including plasma-activated water (PAW) and plasma-activated buffer solution (PABS) for the reduction of chlorothalonil (CTL) and thiram (THM) pesticide residues on tomato fruit. Results revealed that the PAL obtained by using atmospheric air as the feed gas, CTL residues were decreased to 85.3% and 74.2% and THM residues decreased to 79.47 and 72.21% after treatments with PAW10 and PABS10, respectively, and increasing the activation time caused a significant reduction in fungicide residues. In addition, CTL and THM residues were also decreased while increasing the activation time of PAL using Ar/O2 as the feed gas, the concentrations of the CTL residues were decreased to 75.07 and 69.89% for PAW10 and PABS10, respectively and THM residues decreased to 65.89 and 61.91% for PAW10 and PABS10, respectively. Oxidation-reduction potential (ORP) and electrical conductivity (EC) were increased significantly after plasma treatment, while pH values of both solutions were decreased significantly with activation time. NO3− and NO2− concentrations of PAW increased significantly, while for PABS, NO3− concentration decreased but NO2−, with increasing the plasma activation time. Additionally, washing with PAW and PABS caused no notable negative impact on tomato fruit. Results confirmed that PAL treatments showed a significant reduction of CTL and THM fungicide residues (p &lt; 0.05) in tomato without affecting the quality.","author":[{"dropping-particle":"","family":"Ali","given":"Murtaza","non-dropping-particle":"","parse-names":false,"suffix":""},{"dropping-particle":"","family":"Cheng","given":"Jun Hu","non-dropping-particle":"","parse-names":false,"suffix":""},{"dropping-particle":"","family":"Sun","given":"Da Wen","non-dropping-particle":"","parse-names":false,"suffix":""}],"container-title":"Food Chemistry","id":"ITEM-1","issue":"January","issued":{"date-parts":[["2021"]]},"page":"129195","publisher":"Elsevier Ltd","title":"Effect of plasma activated water and buffer solution on fungicide degradation from tomato (Solanum lycopersicum) fruit","type":"article-journal","volume":"350"},"uris":["http://www.mendeley.com/documents/?uuid=76c6865f-e546-49ee-b609-a401920d7d7f"]}],"mendeley":{"formattedCitation":"(ALI; CHENG, J. H.; SUN, D. W., 2021)","manualFormatting":"ALI; CHENG; SUN, (2021)","plainTextFormattedCitation":"(ALI; CHENG, J. H.; SUN, D. W., 2021)","previouslyFormattedCitation":"(ALI; CHENG, J. H.; SUN, D. W., 2021)"},"properties":{"noteIndex":0},"schema":"https://github.com/citation-style-language/schema/raw/master/csl-citation.json"}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ALI; CHENG; SUN, (2021)</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e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{"citationItems":[{"id":"ITEM-1","itemData":{"DOI":"10.1007/s11090-021-10210-6","ISBN":"0123456789","ISSN":"15728986","abstract":"Non-thermal plasma is widely considered as an effective technology for applications in agriculture. Particularly, numerous reports studies have highlighted the role of plasma-activated water (PAW) for seeds germination, plant growth, stress tolerance, and antibacterial ability. The present study investigated the effects of PAW on lettuce (Lactuca Sativa L.) seed germination and seedling growth. PAW was achieved by using an atmospheric pressure dielectric barrier discharge in Ar (50%) –N2 (40%)–O2 (10%) gas mixture for treatment time ranging from 5 to 30 mn. The physicochemical properties of PAW (temperature, pH, electrical conductivity, concentrations of nitrate, nitrite, and hydrogen peroxide) were evaluated. Results show that water-activated during moderate time, 10 to 20 mn, contains reactive oxygen and nitrogen species at relevant concentration levels to have active impacts on seed germination and seedling growth. Germination potential significantly increased by about 117%, 56%, and 77% after 15 mn of treatment, for the first 3 days, respectively, compared to control. For long time PAW (25–30 mn), the germination rate is either constant or decreases. Positive effects of PAW treatments were registered on the growth parameters of seedling including stem and root length, leaf weight, leaf area and chlorophyll content, and the vigor of seedlings. Chlorophyll content significantly increased by 220% for PAW-treated 15 mn and by about 165% for PAW-treated 20 mn, respectively, compared with control. Additionally, PAW induce morphological changes on lettuce seeds which are associated with oxidizing species leading to better water and nutrients uptake.","author":[{"dropping-particle":"","family":"Than","given":"Ha An Quoc","non-dropping-particle":"","parse-names":false,"suffix":""},{"dropping-particle":"","family":"Pham","given":"Thien Huu","non-dropping-particle":"","parse-names":false,"suffix":""},{"dropping-particle":"","family":"Nguyen","given":"Duyen Ky Vo","non-dropping-particle":"","parse-names":false,"suffix":""},{"dropping-particle":"","family":"Pham","given":"Thuong Hoai","non-dropping-particle":"","parse-names":false,"suffix":""},{"dropping-particle":"","family":"Khacef","given":"Ahmed","non-dropping-particle":"","parse-names":false,"suffix":""}],"container-title":"Plasma Chemistry and Plasma Processing","id":"ITEM-1","issue":"1","issued":{"date-parts":[["2022"]]},"page":"73-89","publisher":"Springer US","title":"Non-thermal Plasma Activated Water for Increasing Germination and Plant Growth of Lactuca sativa L","type":"article-journal","volume":"42"},"uris":["http://www.mendeley.com/documents/?uuid=e8fd2089-2b64-4517-9f6f-5c2478ae9194"]}],"mendeley":{"formattedCitation":"(THAN &lt;i&gt;et al.&lt;/i&gt;, 2022)","manualFormatting":"THAN et al.,(2022)","plainTextFormattedCitation":"(THAN et al., 2022)","previouslyFormattedCitation":"(THAN &lt;i&gt;et al.&lt;/i&gt;, 2022)"},"properties":{"noteIndex":0},"schema":"https://github.com/citation-style-language/schema/raw/master/csl-citation.json"}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THAN </w:t>
      </w:r>
      <w:r w:rsidRPr="00211450">
        <w:rPr>
          <w:rFonts w:ascii="Times New Roman" w:hAnsi="Times New Roman" w:cs="Times New Roman"/>
          <w:i/>
          <w:sz w:val="24"/>
          <w:szCs w:val="24"/>
        </w:rPr>
        <w:t>et al.</w:t>
      </w:r>
      <w:r w:rsidRPr="00211450">
        <w:rPr>
          <w:rFonts w:ascii="Times New Roman" w:hAnsi="Times New Roman" w:cs="Times New Roman"/>
          <w:sz w:val="24"/>
          <w:szCs w:val="24"/>
        </w:rPr>
        <w:t>,(2022)</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que relataram aumento na quantidade de íons presentes nas amostras investigadas. </w:t>
      </w:r>
    </w:p>
    <w:p w14:paraId="3B001A0C"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ab/>
        <w:t xml:space="preserve">A condutividade elétrica é uma característica que pode ser definida pela capacidade que um material ou solução possui em conduzir cargas elétricas por intermédio dos íons presentes. O incremento da condutividade elétrica na solução contendo glifosato é derivado principalmente da capacidade do PNT de gerar espécies reativas através da descarga. A formação dessas espécies guarda relação direta com o gás </w:t>
      </w:r>
      <w:proofErr w:type="spellStart"/>
      <w:r w:rsidRPr="00211450">
        <w:rPr>
          <w:rFonts w:ascii="Times New Roman" w:hAnsi="Times New Roman" w:cs="Times New Roman"/>
          <w:sz w:val="24"/>
          <w:szCs w:val="24"/>
        </w:rPr>
        <w:t>plasmogênico</w:t>
      </w:r>
      <w:proofErr w:type="spellEnd"/>
      <w:r w:rsidRPr="00211450">
        <w:rPr>
          <w:rFonts w:ascii="Times New Roman" w:hAnsi="Times New Roman" w:cs="Times New Roman"/>
          <w:sz w:val="24"/>
          <w:szCs w:val="24"/>
        </w:rPr>
        <w:t xml:space="preserve"> empregado no tratamento além dos compostos presentes nas amostras expostas à descarga elétrica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{"citationItems":[{"id":"ITEM-1","itemData":{"DOI":"10.1016/j.jwpe.2020.101664","ISSN":"22147144","abstract":"Owing to the water crisis, the development of innovative and clean advanced oxidation processes to decompose a variety of harmful organic compounds in wastewater becomes the main challenge for many research teams. Cold discharge plasma is one of the most widely studied and developed processes, owing to its low energy cost and easy to operate. The impact of different factors on the decontamination effectiveness of discharge plasma are detailed in this review. The generation and reaction mechanisms of reactive species in discharge plasma systems have also gained a signiﬁcant interest and hence discussed. Several potentials and laboratory-scale reactor design recently reported are discussed and schematically presented. The recent combination of discharge plasma decontamination and other processes in both post and pre-treatment configuration are reported. Some applications of water treatment based on discharge plasma at the pilot scale have been addressing.","author":[{"dropping-particle":"","family":"Zeghioud","given":"Hichem","non-dropping-particle":"","parse-names":false,"suffix":""},{"dropping-particle":"","family":"Nguyen-Tri","given":"Phuong","non-dropping-particle":"","parse-names":false,"suffix":""},{"dropping-particle":"","family":"Khezami","given":"Lotfi","non-dropping-particle":"","parse-names":false,"suffix":""},{"dropping-particle":"","family":"Amrane","given":"Abdeltif","non-dropping-particle":"","parse-names":false,"suffix":""},{"dropping-particle":"","family":"Assadi","given":"Aymen Amine","non-dropping-particle":"","parse-names":false,"suffix":""}],"container-title":"Journal of Water Process Engineering","id":"ITEM-1","issue":"October","issued":{"date-parts":[["2020"]]},"page":"101664","publisher":"Elsevier Ltd","title":"Review on discharge Plasma for water treatment: mechanism, reactor geometries, active species and combined processes","type":"article-journal","volume":"38"},"uris":["http://www.mendeley.com/documents/?uuid=ffd0d1fd-876b-4228-94c3-dc9ebaf37df6"]}],"mendeley":{"formattedCitation":"(ZEGHIOUD &lt;i&gt;et al.&lt;/i&gt;, 2020)","plainTextFormattedCitation":"(ZEGHIOUD et al., 2020)","previouslyFormattedCitation":"(ZEGHIOUD &lt;i&gt;et al.&lt;/i&gt;, 2020)"},"properties":{"noteIndex":0},"schema":"https://github.com/citation-style-language/schema/raw/master/csl-citation.json"}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(ZEGHIOUD </w:t>
      </w:r>
      <w:r w:rsidRPr="00211450">
        <w:rPr>
          <w:rFonts w:ascii="Times New Roman" w:hAnsi="Times New Roman" w:cs="Times New Roman"/>
          <w:i/>
          <w:sz w:val="24"/>
          <w:szCs w:val="24"/>
        </w:rPr>
        <w:t>et al.</w:t>
      </w:r>
      <w:r w:rsidRPr="00211450">
        <w:rPr>
          <w:rFonts w:ascii="Times New Roman" w:hAnsi="Times New Roman" w:cs="Times New Roman"/>
          <w:sz w:val="24"/>
          <w:szCs w:val="24"/>
        </w:rPr>
        <w:t>, 2020)</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Ao utilizar o ar atmosférico, que é constituído basicamente por oxigênio e nitrogênio, as espécies reativas formadas no interior do reator são derivadas desses </w:t>
      </w:r>
      <w:r w:rsidRPr="00211450">
        <w:rPr>
          <w:rFonts w:ascii="Times New Roman" w:hAnsi="Times New Roman" w:cs="Times New Roman"/>
          <w:sz w:val="24"/>
          <w:szCs w:val="24"/>
        </w:rPr>
        <w:lastRenderedPageBreak/>
        <w:t>elementos (</w:t>
      </w:r>
      <w:proofErr w:type="spellStart"/>
      <w:r w:rsidRPr="00211450">
        <w:rPr>
          <w:rFonts w:ascii="Times New Roman" w:hAnsi="Times New Roman" w:cs="Times New Roman"/>
          <w:sz w:val="24"/>
          <w:szCs w:val="24"/>
        </w:rPr>
        <w:t>eqs</w:t>
      </w:r>
      <w:proofErr w:type="spellEnd"/>
      <w:r w:rsidRPr="00211450">
        <w:rPr>
          <w:rFonts w:ascii="Times New Roman" w:hAnsi="Times New Roman" w:cs="Times New Roman"/>
          <w:sz w:val="24"/>
          <w:szCs w:val="24"/>
        </w:rPr>
        <w:t xml:space="preserve">. 19 a 26) formando íons como por exemplo nitratos, nitritos, </w:t>
      </w:r>
      <w:proofErr w:type="spellStart"/>
      <w:r w:rsidRPr="00211450">
        <w:rPr>
          <w:rFonts w:ascii="Times New Roman" w:hAnsi="Times New Roman" w:cs="Times New Roman"/>
          <w:sz w:val="24"/>
          <w:szCs w:val="24"/>
        </w:rPr>
        <w:t>peroxinitritos</w:t>
      </w:r>
      <w:proofErr w:type="spellEnd"/>
      <w:r w:rsidRPr="00211450">
        <w:rPr>
          <w:rFonts w:ascii="Times New Roman" w:hAnsi="Times New Roman" w:cs="Times New Roman"/>
          <w:sz w:val="24"/>
          <w:szCs w:val="24"/>
        </w:rPr>
        <w:t xml:space="preserve">, hidrônio e óxido nitroso, além de haver concentração de produtos da degradação do glifosato, como os íons fosfato resultando no aumento da condutividade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{"citationItems":[{"id":"ITEM-1","itemData":{"DOI":"10.1016/j.scitotenv.2018.05.342","ISSN":"18791026","abstract":"This study reports the potential of non-thermal atmospheric pressure plasma jet for the bacterial inactivation in an aqueous medium. All experiments were conducted in a reactor containing aqueous solution i.e., water, pre-inoculated with bacterial suspensions and after plasma exposure solution is inoculated in Petrifilm to know the viable count. The plasma jet exposure to the bacterial aqueous solution was carried out under various gases such as helium, argon, air and also in combination as Argon + Air and Helium + Air. In each case, the oxidizing species such as hydrogen peroxide, nitric acid, hydroxyl radicals and ozone formed in the reactor during the plasma exposure were quantified. The effect of applied voltage and gas flow rate were studied to optimize the conditions for its efficacy. The solution pH plays a prominent role in bacterial inactivation, as the process is effective at low pH exhibiting 7 log reduction of bacterial population. The bacterial inactivation is efficient at below the critical pH (&lt;4.7) and the inactivation process becomes less effective if the pH goes above 4.7. Plasma treatment of deionized water produces some reactive species such as hydrogen peroxide and nitrates, this plasma treated water is used to test the bacterial inactivation. Addition of Fe2+ salt to the plasma treated water improves the efficacy by converting hydrogen peroxide to hydroxyl radicals, which serves to be a major contributor to the bacterial inactivation. Especially, Non-thermal plasma offers an alternative way to sterilize vacuum sensitive and thermo-labile living tissues.","author":[{"dropping-particle":"","family":"Chandana","given":"L.","non-dropping-particle":"","parse-names":false,"suffix":""},{"dropping-particle":"","family":"Sangeetha","given":"C. J.","non-dropping-particle":"","parse-names":false,"suffix":""},{"dropping-particle":"","family":"Shashidhar","given":"T.","non-dropping-particle":"","parse-names":false,"suffix":""},{"dropping-particle":"","family":"Subrahmanyam","given":"Ch","non-dropping-particle":"","parse-names":false,"suffix":""}],"container-title":"Science of the Total Environment","id":"ITEM-1","issued":{"date-parts":[["2018"]]},"page":"493-500","publisher":"Elsevier B.V.","title":"Non-thermal atmospheric pressure plasma jet for the bacterial inactivation in an aqueous medium","type":"article-journal","volume":"640-641"},"uris":["http://www.mendeley.com/documents/?uuid=d9189ffb-4f36-43f5-81cf-e7b0850758b1"]}],"mendeley":{"formattedCitation":"(CHANDANA &lt;i&gt;et al.&lt;/i&gt;, 2018)","plainTextFormattedCitation":"(CHANDANA et al., 2018)","previouslyFormattedCitation":"(CHANDANA &lt;i&gt;et al.&lt;/i&gt;, 2018)"},"properties":{"noteIndex":0},"schema":"https://github.com/citation-style-language/schema/raw/master/csl-citation.json"}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(CHANDANA </w:t>
      </w:r>
      <w:r w:rsidRPr="00211450">
        <w:rPr>
          <w:rFonts w:ascii="Times New Roman" w:hAnsi="Times New Roman" w:cs="Times New Roman"/>
          <w:i/>
          <w:sz w:val="24"/>
          <w:szCs w:val="24"/>
        </w:rPr>
        <w:t>et al.</w:t>
      </w:r>
      <w:r w:rsidRPr="00211450">
        <w:rPr>
          <w:rFonts w:ascii="Times New Roman" w:hAnsi="Times New Roman" w:cs="Times New Roman"/>
          <w:sz w:val="24"/>
          <w:szCs w:val="24"/>
        </w:rPr>
        <w:t>, 2018)</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{"citationItems":[{"id":"ITEM-1","itemData":{"DOI":"10.1016/j.rinp.2021.104863","ISSN":"22113797","abstract":"In this study, we used an Ar plasma jet to enhance reactive oxygen and nitrogen species (RONS). Atmospheric air was mixed directly with the working gas through the hole of the quartz tube in the discharge region. The electrical, optical, and chemical characteristics of air-mixed Ar plasma via a hole and pure Ar plasma without a hole were compared and analyzed. The hydroxyl (OH) radicals, singlet oxygen (O), and N2 second positive system (SPS) produced in the gas phase were significantly higher in the air-mixed Ar plasma than that in the pure Ar plasma. In addition, the generation of OH radicals was higher in the gas and liquid phases. Furthermore, the concentrations of nitrogen dioxide (NO2) in air, hydrogen peroxide (H2O2), and nitrite (NO2−) the in liquid phase were measured and were found to be higher in the air-mixed Ar plasma than that in pure Ar plasma. The naturally sucked atmospheric air through the drilled hole could be utilized to enhance the RONS by keeping similar power consumption with pure Ar plasma in the gas and liquid phases at a low cost compared to the discharge conditions of other noble gases. This study will be beneficial in the commercialization of non-thermal plasma jets which could be relevant in biomedical and other non-thermal plasma-related applications.","author":[{"dropping-particle":"","family":"Adhikari","given":"Bishwa Chandra","non-dropping-particle":"","parse-names":false,"suffix":""},{"dropping-particle":"","family":"Lamichhane","given":"Pradeep","non-dropping-particle":"","parse-names":false,"suffix":""},{"dropping-particle":"","family":"Lim","given":"Jun Sup","non-dropping-particle":"","parse-names":false,"suffix":""},{"dropping-particle":"","family":"Nguyen","given":"Linh N.","non-dropping-particle":"","parse-names":false,"suffix":""},{"dropping-particle":"","family":"Choi","given":"Eun Ha","non-dropping-particle":"","parse-names":false,"suffix":""}],"container-title":"Results in Physics","id":"ITEM-1","issued":{"date-parts":[["2021"]]},"page":"104863","publisher":"Elsevier B.V.","title":"Generation of reactive species by naturally sucked air in the Ar plasma jet","type":"article-journal","volume":"30"},"uris":["http://www.mendeley.com/documents/?uuid=5c295652-f678-4a3e-ae68-8f6e37ccf7b0"]}],"mendeley":{"formattedCitation":"(ADHIKARI &lt;i&gt;et al.&lt;/i&gt;, 2021)","plainTextFormattedCitation":"(ADHIKARI et al., 2021)","previouslyFormattedCitation":"(ADHIKARI &lt;i&gt;et al.&lt;/i&gt;, 2021)"},"properties":{"noteIndex":0},"schema":"https://github.com/citation-style-language/schema/raw/master/csl-citation.json"}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(ADHIKARI </w:t>
      </w:r>
      <w:r w:rsidRPr="00211450">
        <w:rPr>
          <w:rFonts w:ascii="Times New Roman" w:hAnsi="Times New Roman" w:cs="Times New Roman"/>
          <w:i/>
          <w:sz w:val="24"/>
          <w:szCs w:val="24"/>
        </w:rPr>
        <w:t>et al.</w:t>
      </w:r>
      <w:r w:rsidRPr="00211450">
        <w:rPr>
          <w:rFonts w:ascii="Times New Roman" w:hAnsi="Times New Roman" w:cs="Times New Roman"/>
          <w:sz w:val="24"/>
          <w:szCs w:val="24"/>
        </w:rPr>
        <w:t>, 2021)</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{"citationItems":[{"id":"ITEM-1","itemData":{"DOI":"10.1088/1361-6595/abe0c9","ISSN":"13616595","abstract":"We explore how to configure an argon atmospheric-pressure plasma jet for enhancing its production of hydrogen peroxide (H2O2) in deionised water (DIW). The plasma jet consists of a quartz tube of 1.5 mm inner diameter and 3 mm outer diameter, with an upstream internal needle electrode (within the tube) and a downstream external cylindrical electrode (surrounding the tube). The plasma is operated by purging argon through the glass tube and applying a sinusoidal AC voltage to the internal needle electrode at 10 kV (peak-peak) with a frequency of 23.5 kHz. We study how the following operational parameters influence the production rate of H2O2 in water: tube length, inter-electrode separation distance, distance of the ground electrode from the tube orifice, distance between tube orifice and the DIW, argon flow rate and treatment time. By examining the electrical and optical properties of the plasma jet, we determine how the above operational parameters influence the major plasma processes that promote H2O2 generation through electron-induced dissociation reactions and UV photolysis within the plasma core and in the plasma afterglow; but with a caveat being that these processes are highly dependent on the water vapour content from the argon gas supply and ambient environment. We then demonstrate how the synergistic action between H2O2 and other plasma generated molecules at a plasma induced low pH in the DIW is highly effective at decontaminating common wound pathogens Gram-positive Staphylococus aureus and Gram-negative Pseudomonas aeruginosa. The information presented in this study is relevant in the design of medical plasma devices where production of plasma reactive species such as H2O2 at physiologically useful concentrations is needed to help realise the full clinical potential of the technology.","author":[{"dropping-particle":"","family":"Ghimire","given":"Bhagirath","non-dropping-particle":"","parse-names":false,"suffix":""},{"dropping-particle":"","family":"Szili","given":"Endre J.","non-dropping-particle":"","parse-names":false,"suffix":""},{"dropping-particle":"","family":"Patenall","given":"Bethany L.","non-dropping-particle":"","parse-names":false,"suffix":""},{"dropping-particle":"","family":"Lamichhane","given":"Pradeep","non-dropping-particle":"","parse-names":false,"suffix":""},{"dropping-particle":"","family":"Gaur","given":"Nishtha","non-dropping-particle":"","parse-names":false,"suffix":""},{"dropping-particle":"","family":"Robson","given":"Alexander J.","non-dropping-particle":"","parse-names":false,"suffix":""},{"dropping-particle":"","family":"Trivedi","given":"Dhruv","non-dropping-particle":"","parse-names":false,"suffix":""},{"dropping-particle":"","family":"Thet","given":"Naing T.","non-dropping-particle":"","parse-names":false,"suffix":""},{"dropping-particle":"","family":"Jenkins","given":"A. Toby A.","non-dropping-particle":"","parse-names":false,"suffix":""},{"dropping-particle":"","family":"Choi","given":"Eun Ha","non-dropping-particle":"","parse-names":false,"suffix":""},{"dropping-particle":"","family":"Short","given":"Robert D.","non-dropping-particle":"","parse-names":false,"suffix":""}],"container-title":"Plasma Sources Science and Technology","id":"ITEM-1","issue":"3","issued":{"date-parts":[["2021"]]},"publisher":"IOP Publishing","title":"Enhancement of hydrogen peroxide production from an atmospheric pressure argon plasma jet and implications to the antibacterial activity of plasma activated water","type":"article-journal","volume":"30"},"uris":["http://www.mendeley.com/documents/?uuid=d47c32d3-806e-47b3-8831-9fabeced688c"]}],"mendeley":{"formattedCitation":"(GHIMIRE &lt;i&gt;et al.&lt;/i&gt;, 2021)","plainTextFormattedCitation":"(GHIMIRE et al., 2021)","previouslyFormattedCitation":"(GHIMIRE &lt;i&gt;et al.&lt;/i&gt;, 2021)"},"properties":{"noteIndex":0},"schema":"https://github.com/citation-style-language/schema/raw/master/csl-citation.json"}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(GHIMIRE </w:t>
      </w:r>
      <w:r w:rsidRPr="00211450">
        <w:rPr>
          <w:rFonts w:ascii="Times New Roman" w:hAnsi="Times New Roman" w:cs="Times New Roman"/>
          <w:i/>
          <w:sz w:val="24"/>
          <w:szCs w:val="24"/>
        </w:rPr>
        <w:t>et al.</w:t>
      </w:r>
      <w:r w:rsidRPr="00211450">
        <w:rPr>
          <w:rFonts w:ascii="Times New Roman" w:hAnsi="Times New Roman" w:cs="Times New Roman"/>
          <w:sz w:val="24"/>
          <w:szCs w:val="24"/>
        </w:rPr>
        <w:t>, 2021)</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w:t>
      </w:r>
      <w:r w:rsidRPr="00211450">
        <w:rPr>
          <w:rFonts w:ascii="Times New Roman" w:hAnsi="Times New Roman" w:cs="Times New Roman"/>
          <w:sz w:val="24"/>
          <w:szCs w:val="24"/>
        </w:rPr>
        <w:tab/>
      </w:r>
    </w:p>
    <w:p w14:paraId="0DF422D7" w14:textId="77777777" w:rsidR="00211450" w:rsidRPr="00211450" w:rsidRDefault="00211450" w:rsidP="00211450">
      <w:pPr>
        <w:jc w:val="both"/>
        <w:rPr>
          <w:rFonts w:ascii="Times New Roman" w:hAnsi="Times New Roman" w:cs="Times New Roman"/>
          <w:sz w:val="24"/>
          <w:szCs w:val="24"/>
        </w:rPr>
      </w:pPr>
    </w:p>
    <w:p w14:paraId="69E95BD5" w14:textId="77777777" w:rsidR="00211450" w:rsidRPr="00211450" w:rsidRDefault="00211450" w:rsidP="00211450">
      <w:pPr>
        <w:jc w:val="both"/>
        <w:rPr>
          <w:rFonts w:ascii="Times New Roman" w:hAnsi="Times New Roman" w:cs="Times New Roman"/>
          <w:sz w:val="24"/>
          <w:szCs w:val="24"/>
        </w:rPr>
      </w:pPr>
    </w:p>
    <w:p w14:paraId="3874F064" w14:textId="25F0F529" w:rsidR="00211450" w:rsidRPr="00211450" w:rsidRDefault="00FA42AD" w:rsidP="00211450">
      <w:pPr>
        <w:jc w:val="both"/>
        <w:rPr>
          <w:rFonts w:ascii="Times New Roman" w:hAnsi="Times New Roman" w:cs="Times New Roman"/>
          <w:b/>
          <w:bCs/>
          <w:sz w:val="24"/>
          <w:szCs w:val="24"/>
        </w:rPr>
      </w:pPr>
      <w:bookmarkStart w:id="2" w:name="_Toc125914399"/>
      <w:r>
        <w:rPr>
          <w:rFonts w:ascii="Times New Roman" w:hAnsi="Times New Roman" w:cs="Times New Roman"/>
          <w:b/>
          <w:bCs/>
          <w:sz w:val="24"/>
          <w:szCs w:val="24"/>
        </w:rPr>
        <w:tab/>
      </w:r>
      <w:r w:rsidR="00211450" w:rsidRPr="00211450">
        <w:rPr>
          <w:rFonts w:ascii="Times New Roman" w:hAnsi="Times New Roman" w:cs="Times New Roman"/>
          <w:b/>
          <w:bCs/>
          <w:sz w:val="24"/>
          <w:szCs w:val="24"/>
        </w:rPr>
        <w:t>pH</w:t>
      </w:r>
      <w:bookmarkEnd w:id="2"/>
    </w:p>
    <w:p w14:paraId="79370963"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ab/>
        <w:t xml:space="preserve">A potencial </w:t>
      </w:r>
      <w:proofErr w:type="spellStart"/>
      <w:r w:rsidRPr="00211450">
        <w:rPr>
          <w:rFonts w:ascii="Times New Roman" w:hAnsi="Times New Roman" w:cs="Times New Roman"/>
          <w:sz w:val="24"/>
          <w:szCs w:val="24"/>
        </w:rPr>
        <w:t>hidrogeniônico</w:t>
      </w:r>
      <w:proofErr w:type="spellEnd"/>
      <w:r w:rsidRPr="00211450">
        <w:rPr>
          <w:rFonts w:ascii="Times New Roman" w:hAnsi="Times New Roman" w:cs="Times New Roman"/>
          <w:sz w:val="24"/>
          <w:szCs w:val="24"/>
        </w:rPr>
        <w:t xml:space="preserve"> (pH) de todas as amostras, inclusive da bruta, ficaram acima do limite de quantificação (LQ=1,00) e abaixo do limite de quantificação (LQ=4,00)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{"citationItems":[{"id":"ITEM-1","itemData":{"author":[{"dropping-particle":"","family":"SMWW","given":"","non-dropping-particle":"","parse-names":false,"suffix":""}],"edition":"23","id":"ITEM-1","issued":{"date-parts":[["2017"]]},"number-of-pages":"1504","publisher":"LMC - Pharmabooks","publisher-place":"Washington, D.C.","title":"4500 H+B - Standard Methods for the Examination of Water and Wastewater","type":"book"},"uris":["http://www.mendeley.com/documents/?uuid=7463f4ab-b538-426c-b567-cc19e1832ee3"]}],"mendeley":{"formattedCitation":"(SMWW, 2017a)","plainTextFormattedCitation":"(SMWW, 2017a)","previouslyFormattedCitation":"(SMWW, 2017a)"},"properties":{"noteIndex":0},"schema":"https://github.com/citation-style-language/schema/raw/master/csl-citation.json"}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(SMWW, 2017a)</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Na amostra bruta o pH foi de 3,96 ± 0,04 e nas amostras após o tratamento de 5, 15 e 45 min o pH mensurado foi de 3,28 ± 0,05, 2,85 ± 0,07 e 2,26 ± 0,12 (fig. 6).</w:t>
      </w:r>
    </w:p>
    <w:p w14:paraId="4F700BBB"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Fig. 6 – Variação do pH</w:t>
      </w:r>
    </w:p>
    <w:p w14:paraId="187EED03"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noProof/>
          <w:sz w:val="24"/>
          <w:szCs w:val="24"/>
        </w:rPr>
        <w:drawing>
          <wp:inline distT="0" distB="0" distL="0" distR="0" wp14:anchorId="653F06EA" wp14:editId="3DF92E34">
            <wp:extent cx="3648075" cy="2019300"/>
            <wp:effectExtent l="0" t="0" r="9525" b="0"/>
            <wp:docPr id="16" name="Gráfico 16">
              <a:extLst xmlns:a="http://schemas.openxmlformats.org/drawingml/2006/main">
                <a:ext uri="{FF2B5EF4-FFF2-40B4-BE49-F238E27FC236}">
                  <a16:creationId xmlns:a16="http://schemas.microsoft.com/office/drawing/2014/main" id="{7A546A29-107C-607B-A81D-441977D08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574B07"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Fonte: Autor, (2022)</w:t>
      </w:r>
    </w:p>
    <w:p w14:paraId="27E63B90"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tab/>
        <w:t xml:space="preserve">A diminuição do pH das amostras é uma das características da aplicação de PNT utilizando ar atmosférico como gás </w:t>
      </w:r>
      <w:proofErr w:type="spellStart"/>
      <w:r w:rsidRPr="00211450">
        <w:rPr>
          <w:rFonts w:ascii="Times New Roman" w:hAnsi="Times New Roman" w:cs="Times New Roman"/>
          <w:sz w:val="24"/>
          <w:szCs w:val="24"/>
        </w:rPr>
        <w:t>plasmogênico</w:t>
      </w:r>
      <w:proofErr w:type="spellEnd"/>
      <w:r w:rsidRPr="00211450">
        <w:rPr>
          <w:rFonts w:ascii="Times New Roman" w:hAnsi="Times New Roman" w:cs="Times New Roman"/>
          <w:sz w:val="24"/>
          <w:szCs w:val="24"/>
        </w:rPr>
        <w:t xml:space="preserve">, gerando diversas espécies reativas que contribuem com a diminuição (eq. 19 a 26). Entretanto, a redução do pH está principalmente relacionada com a formação de ácido nítrico e nitroso (eq. 19).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{"citationItems":[{"id":"ITEM-1","itemData":{"DOI":"10.1016/j.cej.2019.04.098","ISSN":"13858947","abstract":"The goals of this research were to i) test the ability of air non-thermal plasma to promote the degradation in water of two widespread herbicides, mesotrione and metolachlor, ii) determine the process efficiency and products for each herbicide treated individually, iii) detect and investigate any possible reciprocal effects when the two herbicides, which are often used in combination, are treated together in the same solution. The experiments were carried out using a dielectric barrier discharge (DBD) reactor to generate a strongly oxidizing non-thermal plasma above the liquid surface and induce the advanced oxidation of dissolved organic chemicals. The results of extensive HPLC (UV, MS and MS/MS) and TOC analyses show that air non-thermal plasma efficiently decomposes both herbicides, that mesotrione is considerably more reactive than metolachlor and that complete mineralization of both is achieved at sufficiently long treatment times. Treatment of metolachlor was also performed in tap water, a closer model for environmental systems, achieving the same results as found in deionized water. Detailed product and kinetic studies failed to reveal any effect attributable to reciprocal influence of mesotrione and metolachlor when treated together in the same solution.","author":[{"dropping-particle":"","family":"Giardina","given":"Agata","non-dropping-particle":"","parse-names":false,"suffix":""},{"dropping-particle":"","family":"Tampieri","given":"Francesco","non-dropping-particle":"","parse-names":false,"suffix":""},{"dropping-particle":"","family":"Biondo","given":"Omar","non-dropping-particle":"","parse-names":false,"suffix":""},{"dropping-particle":"","family":"Marotta","given":"Ester","non-dropping-particle":"","parse-names":false,"suffix":""},{"dropping-particle":"","family":"Paradisi","given":"Cristina","non-dropping-particle":"","parse-names":false,"suffix":""}],"container-title":"Chemical Engineering Journal","id":"ITEM-1","issue":"January","issued":{"date-parts":[["2019"]]},"page":"171-180","publisher":"Elsevier","title":"Air non-thermal plasma treatment of the herbicides mesotrione and metolachlor in water","type":"article-journal","volume":"372"},"uris":["http://www.mendeley.com/documents/?uuid=c97ce6e1-361d-494d-a960-4d6429f296d7"]}],"mendeley":{"formattedCitation":"(GIARDINA &lt;i&gt;et al.&lt;/i&gt;, 2019)","manualFormatting":"GIARDINA et al., (2019)","plainTextFormattedCitation":"(GIARDINA et al., 2019)","previouslyFormattedCitation":"(GIARDINA &lt;i&gt;et al.&lt;/i&gt;, 2019)"},"properties":{"noteIndex":0},"schema":"https://github.com/citation-style-language/schema/raw/master/csl-citation.json"}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GIARDINA </w:t>
      </w:r>
      <w:r w:rsidRPr="00211450">
        <w:rPr>
          <w:rFonts w:ascii="Times New Roman" w:hAnsi="Times New Roman" w:cs="Times New Roman"/>
          <w:i/>
          <w:sz w:val="24"/>
          <w:szCs w:val="24"/>
        </w:rPr>
        <w:t>et al.</w:t>
      </w:r>
      <w:r w:rsidRPr="00211450">
        <w:rPr>
          <w:rFonts w:ascii="Times New Roman" w:hAnsi="Times New Roman" w:cs="Times New Roman"/>
          <w:sz w:val="24"/>
          <w:szCs w:val="24"/>
        </w:rPr>
        <w:t>, (2019)</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{"citationItems":[{"id":"ITEM-1","itemData":{"DOI":"10.1088/1361-6595/abe0c9","ISSN":"13616595","abstract":"We explore how to configure an argon atmospheric-pressure plasma jet for enhancing its production of hydrogen peroxide (H2O2) in deionised water (DIW). The plasma jet consists of a quartz tube of 1.5 mm inner diameter and 3 mm outer diameter, with an upstream internal needle electrode (within the tube) and a downstream external cylindrical electrode (surrounding the tube). The plasma is operated by purging argon through the glass tube and applying a sinusoidal AC voltage to the internal needle electrode at 10 kV (peak-peak) with a frequency of 23.5 kHz. We study how the following operational parameters influence the production rate of H2O2 in water: tube length, inter-electrode separation distance, distance of the ground electrode from the tube orifice, distance between tube orifice and the DIW, argon flow rate and treatment time. By examining the electrical and optical properties of the plasma jet, we determine how the above operational parameters influence the major plasma processes that promote H2O2 generation through electron-induced dissociation reactions and UV photolysis within the plasma core and in the plasma afterglow; but with a caveat being that these processes are highly dependent on the water vapour content from the argon gas supply and ambient environment. We then demonstrate how the synergistic action between H2O2 and other plasma generated molecules at a plasma induced low pH in the DIW is highly effective at decontaminating common wound pathogens Gram-positive Staphylococus aureus and Gram-negative Pseudomonas aeruginosa. The information presented in this study is relevant in the design of medical plasma devices where production of plasma reactive species such as H2O2 at physiologically useful concentrations is needed to help realise the full clinical potential of the technology.","author":[{"dropping-particle":"","family":"Ghimire","given":"Bhagirath","non-dropping-particle":"","parse-names":false,"suffix":""},{"dropping-particle":"","family":"Szili","given":"Endre J.","non-dropping-particle":"","parse-names":false,"suffix":""},{"dropping-particle":"","family":"Patenall","given":"Bethany L.","non-dropping-particle":"","parse-names":false,"suffix":""},{"dropping-particle":"","family":"Lamichhane","given":"Pradeep","non-dropping-particle":"","parse-names":false,"suffix":""},{"dropping-particle":"","family":"Gaur","given":"Nishtha","non-dropping-particle":"","parse-names":false,"suffix":""},{"dropping-particle":"","family":"Robson","given":"Alexander J.","non-dropping-particle":"","parse-names":false,"suffix":""},{"dropping-particle":"","family":"Trivedi","given":"Dhruv","non-dropping-particle":"","parse-names":false,"suffix":""},{"dropping-particle":"","family":"Thet","given":"Naing T.","non-dropping-particle":"","parse-names":false,"suffix":""},{"dropping-particle":"","family":"Jenkins","given":"A. Toby A.","non-dropping-particle":"","parse-names":false,"suffix":""},{"dropping-particle":"","family":"Choi","given":"Eun Ha","non-dropping-particle":"","parse-names":false,"suffix":""},{"dropping-particle":"","family":"Short","given":"Robert D.","non-dropping-particle":"","parse-names":false,"suffix":""}],"container-title":"Plasma Sources Science and Technology","id":"ITEM-1","issue":"3","issued":{"date-parts":[["2021"]]},"publisher":"IOP Publishing","title":"Enhancement of hydrogen peroxide production from an atmospheric pressure argon plasma jet and implications to the antibacterial activity of plasma activated water","type":"article-journal","volume":"30"},"uris":["http://www.mendeley.com/documents/?uuid=d47c32d3-806e-47b3-8831-9fabeced688c"]}],"mendeley":{"formattedCitation":"(GHIMIRE &lt;i&gt;et al.&lt;/i&gt;, 2021)","manualFormatting":"GHIMIRE et al., (2021)","plainTextFormattedCitation":"(GHIMIRE et al., 2021)","previouslyFormattedCitation":"(GHIMIRE &lt;i&gt;et al.&lt;/i&gt;, 2021)"},"properties":{"noteIndex":0},"schema":"https://github.com/citation-style-language/schema/raw/master/csl-citation.json"}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GHIMIRE </w:t>
      </w:r>
      <w:r w:rsidRPr="00211450">
        <w:rPr>
          <w:rFonts w:ascii="Times New Roman" w:hAnsi="Times New Roman" w:cs="Times New Roman"/>
          <w:i/>
          <w:sz w:val="24"/>
          <w:szCs w:val="24"/>
        </w:rPr>
        <w:t>et al.</w:t>
      </w:r>
      <w:r w:rsidRPr="00211450">
        <w:rPr>
          <w:rFonts w:ascii="Times New Roman" w:hAnsi="Times New Roman" w:cs="Times New Roman"/>
          <w:sz w:val="24"/>
          <w:szCs w:val="24"/>
        </w:rPr>
        <w:t>, (2021)</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e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{"citationItems":[{"id":"ITEM-1","itemData":{"DOI":"10.1016/j.jhazmat.2021.125481","ISSN":"18733336","PMID":"33992019","abstract":"Large amounts of antibiotics are produced and consumed worldwide, while wastewater treatment is still rather inefficient, leading to considerable water contamination. Concentrations of antibiotics in the environment are often sufficiently high to exert a selective pressure on bacteria of clinical importance that increases the prevalence of resistance. Since the drastic reduction in the use of antibiotics is not envisaged, efforts to reduce their input into the environment by improving treatment of contaminated wastewater is essential to limit uncontrollable spread of antibiotic resistance. This paper reviews recent progress on the use of non-thermal plasma for the degradation of antibiotics in water. The target compounds removal, the energy efficiency and the mineralization are analyzed as a function of discharge configuration and the most important experimental parameters. Various ways to improve the plasma process efficiency are addressed. Based on the identified reaction intermediates, degradation pathways are proposed for various classes of antibiotics and the degradation mechanisms of these chemicals under plasma conditions are discussed.","author":[{"dropping-particle":"","family":"Magureanu","given":"M.","non-dropping-particle":"","parse-names":false,"suffix":""},{"dropping-particle":"","family":"Bilea","given":"F.","non-dropping-particle":"","parse-names":false,"suffix":""},{"dropping-particle":"","family":"Bradu","given":"C.","non-dropping-particle":"","parse-names":false,"suffix":""},{"dropping-particle":"","family":"Hong","given":"D.","non-dropping-particle":"","parse-names":false,"suffix":""}],"container-title":"Journal of Hazardous Materials","id":"ITEM-1","issue":"December 2020","issued":{"date-parts":[["2021"]]},"page":"125481","publisher":"Elsevier B.V.","title":"A review on non-thermal plasma treatment of water contaminated with antibiotics","type":"article-journal","volume":"417"},"uris":["http://www.mendeley.com/documents/?uuid=8609fc8f-84cf-44c3-bec3-a99a57b4c223"]}],"mendeley":{"formattedCitation":"(MAGUREANU, M. &lt;i&gt;et al.&lt;/i&gt;, 2021)","manualFormatting":"MAGUREANU et al., (2021)","plainTextFormattedCitation":"(MAGUREANU, M. et al., 2021)","previouslyFormattedCitation":"(MAGUREANU, M. &lt;i&gt;et al.&lt;/i&gt;, 2021)"},"properties":{"noteIndex":0},"schema":"https://github.com/citation-style-language/schema/raw/master/csl-citation.json"}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MAGUREANU </w:t>
      </w:r>
      <w:r w:rsidRPr="00211450">
        <w:rPr>
          <w:rFonts w:ascii="Times New Roman" w:hAnsi="Times New Roman" w:cs="Times New Roman"/>
          <w:i/>
          <w:sz w:val="24"/>
          <w:szCs w:val="24"/>
        </w:rPr>
        <w:t>et al.</w:t>
      </w:r>
      <w:r w:rsidRPr="00211450">
        <w:rPr>
          <w:rFonts w:ascii="Times New Roman" w:hAnsi="Times New Roman" w:cs="Times New Roman"/>
          <w:sz w:val="24"/>
          <w:szCs w:val="24"/>
        </w:rPr>
        <w:t>, (2021)</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relataram a diminuição do pH das amostras expostas ao tratamento com PNT devido à formação de espécies reativas derivadas de nitrogênio e oxigênio.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{"citationItems":[{"id":"ITEM-1","itemData":{"author":[{"dropping-particle":"DA","family":"SILVA","given":"ANDRÉ FELIPE FUCK","non-dropping-particle":"","parse-names":false,"suffix":""}],"id":"ITEM-1","issued":{"date-parts":[["2017"]]},"publisher":"Universidade Federal de Santa Catarina","publisher-place":"Florianópolis","title":"Caracterização e Performance de um Reator de Plasma Frio na Produção de Peróxido de Hidrogênio","type":"thesis"},"uris":["http://www.mendeley.com/documents/?uuid=03e16100-0f9a-4963-ae2e-5da04fa507c3"]}],"mendeley":{"formattedCitation":"(SILVA, 2017)","manualFormatting":"SILVA, (2017)","plainTextFormattedCitation":"(SILVA, 2017)","previouslyFormattedCitation":"(SILVA, 2017)"},"properties":{"noteIndex":0},"schema":"https://github.com/citation-style-language/schema/raw/master/csl-citation.json"}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SILVA, (2017)</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relatou que dentre todas as espécies formadas pela descarga elétrica em reator preenchido com ar atmosférico, as espécies reativas de nitrogênio, como nitratos e nitritos, foram as espécies que mais contribuíram para a acidificação das amostras, seguidas das espécies reativas formadas por oxigênio, como ozônio e oxigênio atômico. </w:t>
      </w:r>
    </w:p>
    <w:p w14:paraId="4687CBFE" w14:textId="77777777" w:rsidR="00211450" w:rsidRPr="00211450" w:rsidRDefault="00211450" w:rsidP="00211450">
      <w:pPr>
        <w:jc w:val="both"/>
        <w:rPr>
          <w:rFonts w:ascii="Times New Roman" w:hAnsi="Times New Roman" w:cs="Times New Roman"/>
          <w:sz w:val="24"/>
          <w:szCs w:val="24"/>
        </w:rPr>
      </w:pPr>
      <w:r w:rsidRPr="00211450">
        <w:rPr>
          <w:rFonts w:ascii="Times New Roman" w:hAnsi="Times New Roman" w:cs="Times New Roman"/>
          <w:sz w:val="24"/>
          <w:szCs w:val="24"/>
        </w:rPr>
        <w:lastRenderedPageBreak/>
        <w:tab/>
        <w:t xml:space="preserve">Autores como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{"citationItems":[{"id":"ITEM-1","itemData":{"DOI":"10.1016/j.seppur.2020.117264","ISSN":"18733794","abstract":"Degradation of quinolone antibiotic levofloxacin (LFX) in water falling film dielectric barrier discharge (DBD) plasma combined with Ag3PO4 loaded activated carbon fibers (Ag3PO4/ACFs) system was studied. The prepared Ag3PO4/ACFs were characterized by scanning electron microscope (SEM), X-ray diffraction (XRD) and Brunauer-Emmett-Teller (BET). The results showed that the cubic Ag3PO4 was well loaded on surface of the ACFs with a large specific surface area. Effects of initial concentration of LFX, discharge voltage, initial pH, liquid circulation flow rate, and catalyst dosage on the removal rate of LFX were discussed. The results showed that the degradation efficiency of LFX at 18 min could reach 93% with the addition of Ag3PO4/ACFs compared with 63% by single DBD plasma (discharge voltage 10 kV, initial concentration of LFX 20 mg/L). The addition of Ag3PO4/ACFs increased the mineralization rate of LFX from 11% to 46%. The possible degradation pathways of LFX were derived by Gaussian calculation and high-performance liquid chromatography-mass spectrometry (HPLC-MS) analysis, decarboxylation, demethylation, dehydroxylation, side chain decomposition, and ring cleavage involved in the degradation process of LFX.","author":[{"dropping-particle":"","family":"Gong","given":"Shi","non-dropping-particle":"","parse-names":false,"suffix":""},{"dropping-particle":"","family":"Sun","given":"Yabing","non-dropping-particle":"","parse-names":false,"suffix":""},{"dropping-particle":"","family":"Zheng","given":"Ke","non-dropping-particle":"","parse-names":false,"suffix":""},{"dropping-particle":"","family":"Jiang","given":"Guilin","non-dropping-particle":"","parse-names":false,"suffix":""},{"dropping-particle":"","family":"Li","given":"Lian","non-dropping-particle":"","parse-names":false,"suffix":""},{"dropping-particle":"","family":"Feng","given":"Jingwei","non-dropping-particle":"","parse-names":false,"suffix":""}],"container-title":"Separation and Purification Technology","id":"ITEM-1","issue":"June","issued":{"date-parts":[["2020"]]},"page":"117264","publisher":"Elsevier","title":"Degradation of levofloxacin in aqueous solution by non-thermal plasma combined with Ag3PO4/activated carbon fibers: Mechanism and degradation pathways","type":"article-journal","volume":"250"},"uris":["http://www.mendeley.com/documents/?uuid=ef1eb0a1-6351-4388-9b09-e8b9b816b2a8"]}],"mendeley":{"formattedCitation":"(GONG, S. &lt;i&gt;et al.&lt;/i&gt;, 2020)","manualFormatting":"GONG et al., (2020)","plainTextFormattedCitation":"(GONG, S. et al., 2020)","previouslyFormattedCitation":"(GONG, S. &lt;i&gt;et al.&lt;/i&gt;, 2020)"},"properties":{"noteIndex":0},"schema":"https://github.com/citation-style-language/schema/raw/master/csl-citation.json"}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GONG </w:t>
      </w:r>
      <w:r w:rsidRPr="00211450">
        <w:rPr>
          <w:rFonts w:ascii="Times New Roman" w:hAnsi="Times New Roman" w:cs="Times New Roman"/>
          <w:i/>
          <w:sz w:val="24"/>
          <w:szCs w:val="24"/>
        </w:rPr>
        <w:t>et al.</w:t>
      </w:r>
      <w:r w:rsidRPr="00211450">
        <w:rPr>
          <w:rFonts w:ascii="Times New Roman" w:hAnsi="Times New Roman" w:cs="Times New Roman"/>
          <w:sz w:val="24"/>
          <w:szCs w:val="24"/>
        </w:rPr>
        <w:t>, (2020)</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e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{"citationItems":[{"id":"ITEM-1","itemData":{"DOI":"10.1016/j.jhazmat.2018.08.012","ISSN":"18733336","PMID":"30130695","abstract":"Sulfonamides (SAs) and sul antibiotic resistance genes (ARGs) have been extensively detected in drinking water sources and warrant further studies on the removal of them in different drinking water treatment processes (DWTPs). The prevalence of 13 SAs, sul1, sul2 and class I integrase gene intI1 in conventional and advanced processes was investigated using HPLC-MS/MS and real-time quantitative PCR (qPCR), respectively. The most abundant SA was sulfamethoxazole, with the maximum concentration of 67.27 ng/L. High concentration of sulfamethoxazole was also measured in finished water in both conventional (22.05 ng/L) and advanced (11.24 ng/L) processes. Overall, the removal efficiency of advanced process for each SA was higher than that of conventional process, except for sulfameter. The absolute concentrations of sul1, sul2 and intI1 in raw water ranged from 1.8 × 103 to 2.4 × 105 gene abundance/mL. After treatment, the residual sul ARGs and intI1 in finished water still remained at 102 - 104 gene abundance/mL. Conventional treatment units, including flocculation/sedimentation/sand filtration, played a more important role in removing sul1, sul2 and intI1 than oxidation (chlorination or ozonation) and granular activated carbon filtration treatments. Based on this work, more investigations are needed to help improve the removal of both antibiotics and ARGs in DWTPs.","author":[{"dropping-particle":"","family":"Hu","given":"Yaru","non-dropping-particle":"","parse-names":false,"suffix":""},{"dropping-particle":"","family":"Jiang","given":"Lei","non-dropping-particle":"","parse-names":false,"suffix":""},{"dropping-particle":"","family":"Zhang","given":"Tianyang","non-dropping-particle":"","parse-names":false,"suffix":""},{"dropping-particle":"","family":"Jin","given":"Lei","non-dropping-particle":"","parse-names":false,"suffix":""},{"dropping-particle":"","family":"Han","given":"Qi","non-dropping-particle":"","parse-names":false,"suffix":""},{"dropping-particle":"","family":"Zhang","given":"Dong","non-dropping-particle":"","parse-names":false,"suffix":""},{"dropping-particle":"","family":"Lin","given":"Kuangfei","non-dropping-particle":"","parse-names":false,"suffix":""},{"dropping-particle":"","family":"Cui","given":"Changzheng","non-dropping-particle":"","parse-names":false,"suffix":""}],"container-title":"Journal of Hazardous Materials","id":"ITEM-1","issue":"July","issued":{"date-parts":[["2018"]]},"page":"364-372","publisher":"Elsevier","title":"Occurrence and removal of sulfonamide antibiotics and antibiotic resistance genes in conventional and advanced drinking water treatment processes","type":"article-journal","volume":"360"},"uris":["http://www.mendeley.com/documents/?uuid=f68cb93a-39a5-4fd9-812f-9f0f43c9ef88"]}],"mendeley":{"formattedCitation":"(HU, Y. &lt;i&gt;et al.&lt;/i&gt;, 2018)","manualFormatting":"HU et al., (2018)","plainTextFormattedCitation":"(HU, Y. et al., 2018)","previouslyFormattedCitation":"(HU, Y. &lt;i&gt;et al.&lt;/i&gt;, 2018)"},"properties":{"noteIndex":0},"schema":"https://github.com/citation-style-language/schema/raw/master/csl-citation.json"}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 xml:space="preserve">HU </w:t>
      </w:r>
      <w:r w:rsidRPr="00211450">
        <w:rPr>
          <w:rFonts w:ascii="Times New Roman" w:hAnsi="Times New Roman" w:cs="Times New Roman"/>
          <w:i/>
          <w:sz w:val="24"/>
          <w:szCs w:val="24"/>
        </w:rPr>
        <w:t>et al.</w:t>
      </w:r>
      <w:r w:rsidRPr="00211450">
        <w:rPr>
          <w:rFonts w:ascii="Times New Roman" w:hAnsi="Times New Roman" w:cs="Times New Roman"/>
          <w:sz w:val="24"/>
          <w:szCs w:val="24"/>
        </w:rPr>
        <w:t>, (2018)</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relatam que a variedade de espécies reativas formadas pela descarga elétrica sofrem influência direta do pH das amostras. Valores de pH baixo são mais propícios à formação de radicais hidroxilas. </w:t>
      </w:r>
      <w:r w:rsidRPr="00211450">
        <w:rPr>
          <w:rFonts w:ascii="Times New Roman" w:hAnsi="Times New Roman" w:cs="Times New Roman"/>
          <w:sz w:val="24"/>
          <w:szCs w:val="24"/>
        </w:rPr>
        <w:fldChar w:fldCharType="begin" w:fldLock="1"/>
      </w:r>
      <w:r w:rsidRPr="00211450">
        <w:rPr>
          <w:rFonts w:ascii="Times New Roman" w:hAnsi="Times New Roman" w:cs="Times New Roman"/>
          <w:sz w:val="24"/>
          <w:szCs w:val="24"/>
        </w:rPr>
        <w:instrText>ADDIN CSL_CITATION {"citationItems":[{"id":"ITEM-1","itemData":{"DOI":"10.1016/j.watres.2017.05.006","ISSN":"18792448","PMID":"28505531","abstract":"In the present study, plasma generated by pulsed corona discharge was used for the degradation of diclofenac, carbamazepine and ciprofloxacin. Pollutants in aqueous solution were plasma treated under two categories: single and mixed pollutant condition. Mixed pollutant condition showed an antagonistic behaviour and thus the degradation time was higher for mixed condition compared to the single condition. At different voltage and frequencies, degradation efficiency followed the trend, diclofenac&gt;carbamazepine&gt;ciprofloxacin. Acidic pH slightly favoured the degradation process whereas in presence of radical scavengers (HCO3−, CO32– and humic acid) the degradation yield was significantly decreased. With an input power of 101.5 W, complete degradation was achieved within 4–16 min of plasma treatment for pharmaceutical's concentrations of 1–10 mg/L. As the pollutant concentration increased from 1 to 10 mg/L, the pseudo first order rate constant decreased, while yield increased. Complete degradation pathway of diclofenac, carbamazepine and ciprofloxacin in plasma treatment process are proposed by identifying the intermediates using LC-MS analysis. TOC analysis confirmed 80% mineralization within 10 min of plasma treatment for higher pharmaceutical's concentrations of 10 mg/L. The microalgae ecotoxicity study and disc diffusion test confirmed the complete detoxification of PACs that took place after 6 min of plasma treatment.","author":[{"dropping-particle":"","family":"Singh","given":"Raj Kamal","non-dropping-particle":"","parse-names":false,"suffix":""},{"dropping-particle":"","family":"Philip","given":"Ligy","non-dropping-particle":"","parse-names":false,"suffix":""},{"dropping-particle":"","family":"Ramanujam","given":"Sarathi","non-dropping-particle":"","parse-names":false,"suffix":""}],"container-title":"Water Research","id":"ITEM-1","issued":{"date-parts":[["2017"]]},"page":"20-36","publisher":"Elsevier Ltd","title":"Rapid degradation, mineralization and detoxification of pharmaceutically active compounds in aqueous solution during pulsed corona discharge treatment","type":"article-journal","volume":"121"},"uris":["http://www.mendeley.com/documents/?uuid=f4097cb0-a618-420d-a0a7-06207613d6af"]}],"mendeley":{"formattedCitation":"(SINGH; PHILIP; RAMANUJAM, 2017)","manualFormatting":"SINGH; PHILIP; RAMANUJAM, (2017)","plainTextFormattedCitation":"(SINGH; PHILIP; RAMANUJAM, 2017)","previouslyFormattedCitation":"(SINGH; PHILIP; RAMANUJAM, 2017)"},"properties":{"noteIndex":0},"schema":"https://github.com/citation-style-language/schema/raw/master/csl-citation.json"}</w:instrText>
      </w:r>
      <w:r w:rsidRPr="00211450">
        <w:rPr>
          <w:rFonts w:ascii="Times New Roman" w:hAnsi="Times New Roman" w:cs="Times New Roman"/>
          <w:sz w:val="24"/>
          <w:szCs w:val="24"/>
        </w:rPr>
        <w:fldChar w:fldCharType="separate"/>
      </w:r>
      <w:r w:rsidRPr="00211450">
        <w:rPr>
          <w:rFonts w:ascii="Times New Roman" w:hAnsi="Times New Roman" w:cs="Times New Roman"/>
          <w:sz w:val="24"/>
          <w:szCs w:val="24"/>
        </w:rPr>
        <w:t>SINGH; PHILIP; RAMANUJAM, (2017)</w:t>
      </w:r>
      <w:r w:rsidRPr="00211450">
        <w:rPr>
          <w:rFonts w:ascii="Times New Roman" w:hAnsi="Times New Roman" w:cs="Times New Roman"/>
          <w:sz w:val="24"/>
          <w:szCs w:val="24"/>
        </w:rPr>
        <w:fldChar w:fldCharType="end"/>
      </w:r>
      <w:r w:rsidRPr="00211450">
        <w:rPr>
          <w:rFonts w:ascii="Times New Roman" w:hAnsi="Times New Roman" w:cs="Times New Roman"/>
          <w:sz w:val="24"/>
          <w:szCs w:val="24"/>
        </w:rPr>
        <w:t xml:space="preserve"> variaram o pH entre 4 e 9 e relataram que a concentração máxima desses radicais foi alcançada em amostras com pH 4. Os autores atribuíram a maior produção de radicais hidroxila em condições ácidas devido ao aumento da produção de radicais hidrogênio, que reagem com água do meio e com peróxidos de hidrogênio formados.</w:t>
      </w:r>
    </w:p>
    <w:p w14:paraId="282EB3B7" w14:textId="3D450D8D" w:rsidR="00211450" w:rsidRPr="00211450" w:rsidRDefault="00FA42AD" w:rsidP="00FA42AD">
      <w:pPr>
        <w:jc w:val="both"/>
        <w:rPr>
          <w:rFonts w:ascii="Times New Roman" w:hAnsi="Times New Roman" w:cs="Times New Roman"/>
          <w:sz w:val="24"/>
          <w:szCs w:val="24"/>
        </w:rPr>
      </w:pPr>
      <w:bookmarkStart w:id="3" w:name="_Toc125914400"/>
      <w:r>
        <w:rPr>
          <w:rFonts w:ascii="Times New Roman" w:hAnsi="Times New Roman" w:cs="Times New Roman"/>
          <w:b/>
          <w:bCs/>
          <w:sz w:val="24"/>
          <w:szCs w:val="24"/>
        </w:rPr>
        <w:tab/>
      </w:r>
      <w:bookmarkStart w:id="4" w:name="_Toc125914401"/>
      <w:bookmarkEnd w:id="3"/>
      <w:r>
        <w:rPr>
          <w:rFonts w:ascii="Times New Roman" w:hAnsi="Times New Roman" w:cs="Times New Roman"/>
          <w:b/>
          <w:bCs/>
          <w:sz w:val="24"/>
          <w:szCs w:val="24"/>
        </w:rPr>
        <w:tab/>
      </w:r>
      <w:bookmarkEnd w:id="4"/>
    </w:p>
    <w:p w14:paraId="5BB4DAA0" w14:textId="77777777" w:rsidR="007067EF" w:rsidRPr="009576F2" w:rsidRDefault="007067EF" w:rsidP="007067EF">
      <w:pPr>
        <w:jc w:val="both"/>
        <w:rPr>
          <w:rFonts w:ascii="Times New Roman" w:hAnsi="Times New Roman" w:cs="Times New Roman"/>
          <w:sz w:val="18"/>
          <w:szCs w:val="18"/>
        </w:rPr>
      </w:pPr>
    </w:p>
    <w:p w14:paraId="44341074" w14:textId="30F1DE40" w:rsidR="007067EF" w:rsidRDefault="00F24FE2" w:rsidP="007067EF">
      <w:pPr>
        <w:rPr>
          <w:rFonts w:ascii="Times New Roman" w:hAnsi="Times New Roman" w:cs="Times New Roman"/>
          <w:sz w:val="24"/>
          <w:szCs w:val="24"/>
        </w:rPr>
      </w:pPr>
      <w:r>
        <w:rPr>
          <w:rFonts w:ascii="Times New Roman" w:hAnsi="Times New Roman" w:cs="Times New Roman"/>
          <w:b/>
          <w:sz w:val="24"/>
          <w:szCs w:val="24"/>
        </w:rPr>
        <w:tab/>
      </w:r>
      <w:r w:rsidR="007067EF" w:rsidRPr="007067EF">
        <w:rPr>
          <w:rFonts w:ascii="Times New Roman" w:hAnsi="Times New Roman" w:cs="Times New Roman"/>
          <w:b/>
          <w:sz w:val="24"/>
          <w:szCs w:val="24"/>
        </w:rPr>
        <w:t>CONCLUSÕES:</w:t>
      </w:r>
      <w:r w:rsidR="007067EF" w:rsidRPr="007067EF">
        <w:rPr>
          <w:rFonts w:ascii="Times New Roman" w:hAnsi="Times New Roman" w:cs="Times New Roman"/>
          <w:sz w:val="24"/>
          <w:szCs w:val="24"/>
        </w:rPr>
        <w:t xml:space="preserve"> </w:t>
      </w:r>
    </w:p>
    <w:p w14:paraId="4DF0FB9F" w14:textId="77777777" w:rsidR="00F24FE2" w:rsidRPr="007067EF" w:rsidRDefault="00F24FE2" w:rsidP="007067EF">
      <w:pPr>
        <w:rPr>
          <w:rFonts w:ascii="Times New Roman" w:hAnsi="Times New Roman" w:cs="Times New Roman"/>
          <w:sz w:val="24"/>
          <w:szCs w:val="24"/>
        </w:rPr>
      </w:pPr>
    </w:p>
    <w:p w14:paraId="77F04A3B" w14:textId="77777777" w:rsidR="00474FB1" w:rsidRPr="00474FB1" w:rsidRDefault="00F24FE2" w:rsidP="00474FB1">
      <w:pPr>
        <w:spacing w:line="360" w:lineRule="auto"/>
        <w:jc w:val="both"/>
        <w:rPr>
          <w:rFonts w:ascii="Times New Roman" w:hAnsi="Times New Roman" w:cs="Times New Roman"/>
          <w:sz w:val="24"/>
          <w:szCs w:val="24"/>
        </w:rPr>
      </w:pPr>
      <w:r w:rsidRPr="00474FB1">
        <w:rPr>
          <w:rFonts w:ascii="Times New Roman" w:hAnsi="Times New Roman" w:cs="Times New Roman"/>
        </w:rPr>
        <w:tab/>
      </w:r>
      <w:r w:rsidR="00474FB1" w:rsidRPr="00474FB1">
        <w:rPr>
          <w:rFonts w:ascii="Times New Roman" w:hAnsi="Times New Roman" w:cs="Times New Roman"/>
          <w:sz w:val="24"/>
          <w:szCs w:val="24"/>
        </w:rPr>
        <w:t>O Plasma não térmico provou ser eficaz na quebra do glifosato em solução aquosa e pode ser visto como uma técnica alternativa aos métodos convencionais de tratamento de água para degradar glifosato. O processo de quebra do glifosato envolveu radicais de hidrogênio e oxigênio, como hidroxila, óxido de nitrogênio, peróxido de hidrogênio e ozônio. A principal decomposição foi nas ligações entre os átomos de carbono e nitrogênio e entre carbono e fósforo.</w:t>
      </w:r>
    </w:p>
    <w:p w14:paraId="7830AC20" w14:textId="58DBA3A3" w:rsidR="00474FB1" w:rsidRPr="00474FB1" w:rsidRDefault="00474FB1" w:rsidP="00474FB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74FB1">
        <w:rPr>
          <w:rFonts w:ascii="Times New Roman" w:hAnsi="Times New Roman" w:cs="Times New Roman"/>
          <w:sz w:val="24"/>
          <w:szCs w:val="24"/>
        </w:rPr>
        <w:t>Adicionalmente, houve um aumento na condutividade elétrica, devido ao crescimento de íons na solução oriundos da decomposição da molécula principal e à criação de várias espécies reativas no reator. O pH das amostras diminuiu após o tratamento com plasma não térmico, influenciado por compostos secundários da decomposição do glifosato, como ácidos acético e fórmico e radicais de hidrogênio. Também se observou uma diminuição na saturação de oxigênio dissolvido, resultante de sua interação com radicais formados pelo plasma, principalmente os derivados de hidrogênio e nitrogênio, que geram hidroxilas e óxidos de nitrogênio como nitratos e nitritos.</w:t>
      </w:r>
    </w:p>
    <w:p w14:paraId="7E36A0C9" w14:textId="7E484401" w:rsidR="00F24FE2" w:rsidRPr="00F24FE2" w:rsidRDefault="00F24FE2" w:rsidP="00474FB1">
      <w:pPr>
        <w:spacing w:line="360" w:lineRule="auto"/>
        <w:jc w:val="both"/>
        <w:rPr>
          <w:rStyle w:val="q4iawc"/>
          <w:rFonts w:ascii="Times New Roman" w:hAnsi="Times New Roman" w:cs="Times New Roman"/>
        </w:rPr>
      </w:pPr>
      <w:r w:rsidRPr="00F24FE2">
        <w:rPr>
          <w:rFonts w:ascii="Times New Roman" w:hAnsi="Times New Roman" w:cs="Times New Roman"/>
        </w:rPr>
        <w:t xml:space="preserve"> </w:t>
      </w:r>
    </w:p>
    <w:p w14:paraId="5FDF7F80" w14:textId="77777777" w:rsidR="007067EF" w:rsidRPr="009576F2" w:rsidRDefault="007067EF" w:rsidP="007067EF">
      <w:pPr>
        <w:jc w:val="both"/>
        <w:rPr>
          <w:rFonts w:ascii="Times New Roman" w:hAnsi="Times New Roman" w:cs="Times New Roman"/>
          <w:sz w:val="18"/>
          <w:szCs w:val="18"/>
        </w:rPr>
      </w:pPr>
    </w:p>
    <w:p w14:paraId="1C2B2DD0" w14:textId="77777777" w:rsidR="007067EF" w:rsidRPr="007067EF" w:rsidRDefault="007067EF" w:rsidP="007067EF">
      <w:pPr>
        <w:rPr>
          <w:rFonts w:ascii="Times New Roman" w:hAnsi="Times New Roman" w:cs="Times New Roman"/>
          <w:sz w:val="24"/>
          <w:szCs w:val="24"/>
        </w:rPr>
      </w:pPr>
      <w:r w:rsidRPr="007067EF">
        <w:rPr>
          <w:rFonts w:ascii="Times New Roman" w:hAnsi="Times New Roman" w:cs="Times New Roman"/>
          <w:b/>
          <w:sz w:val="24"/>
          <w:szCs w:val="24"/>
        </w:rPr>
        <w:t>REFERÊNCIAS:</w:t>
      </w:r>
      <w:r w:rsidRPr="007067EF">
        <w:rPr>
          <w:rFonts w:ascii="Times New Roman" w:hAnsi="Times New Roman" w:cs="Times New Roman"/>
          <w:sz w:val="24"/>
          <w:szCs w:val="24"/>
        </w:rPr>
        <w:t xml:space="preserve"> </w:t>
      </w:r>
    </w:p>
    <w:p w14:paraId="4BBA603F" w14:textId="77777777" w:rsidR="00994704" w:rsidRPr="00994704" w:rsidRDefault="00994704" w:rsidP="00994704">
      <w:pPr>
        <w:numPr>
          <w:ilvl w:val="0"/>
          <w:numId w:val="2"/>
        </w:numPr>
        <w:spacing w:line="240" w:lineRule="auto"/>
        <w:jc w:val="both"/>
        <w:rPr>
          <w:rFonts w:ascii="Times New Roman" w:hAnsi="Times New Roman" w:cs="Times New Roman"/>
          <w:sz w:val="24"/>
          <w:szCs w:val="24"/>
        </w:rPr>
      </w:pPr>
      <w:r w:rsidRPr="00994704">
        <w:rPr>
          <w:rFonts w:ascii="Times New Roman" w:hAnsi="Times New Roman" w:cs="Times New Roman"/>
          <w:sz w:val="24"/>
          <w:szCs w:val="24"/>
        </w:rPr>
        <w:t xml:space="preserve">De Amarante Junior, O. P. DE et al. Glifosato: Propriedades, toxicidade, usos e </w:t>
      </w:r>
      <w:proofErr w:type="spellStart"/>
      <w:proofErr w:type="gramStart"/>
      <w:r w:rsidRPr="00994704">
        <w:rPr>
          <w:rFonts w:ascii="Times New Roman" w:hAnsi="Times New Roman" w:cs="Times New Roman"/>
          <w:sz w:val="24"/>
          <w:szCs w:val="24"/>
        </w:rPr>
        <w:t>legislação.</w:t>
      </w:r>
      <w:r w:rsidRPr="00994704">
        <w:rPr>
          <w:rFonts w:ascii="Times New Roman" w:hAnsi="Times New Roman" w:cs="Times New Roman"/>
          <w:b/>
          <w:bCs/>
          <w:sz w:val="24"/>
          <w:szCs w:val="24"/>
        </w:rPr>
        <w:t>Quimica</w:t>
      </w:r>
      <w:proofErr w:type="spellEnd"/>
      <w:proofErr w:type="gramEnd"/>
      <w:r w:rsidRPr="00994704">
        <w:rPr>
          <w:rFonts w:ascii="Times New Roman" w:hAnsi="Times New Roman" w:cs="Times New Roman"/>
          <w:b/>
          <w:bCs/>
          <w:sz w:val="24"/>
          <w:szCs w:val="24"/>
        </w:rPr>
        <w:t xml:space="preserve"> Nova</w:t>
      </w:r>
      <w:r w:rsidRPr="00994704">
        <w:rPr>
          <w:rFonts w:ascii="Times New Roman" w:hAnsi="Times New Roman" w:cs="Times New Roman"/>
          <w:sz w:val="24"/>
          <w:szCs w:val="24"/>
        </w:rPr>
        <w:t>, v. 25, n. 4, p. 589–593, 2002. ABNT.</w:t>
      </w:r>
    </w:p>
    <w:p w14:paraId="454B939F" w14:textId="77777777" w:rsidR="00994704" w:rsidRPr="00994704" w:rsidRDefault="00994704" w:rsidP="00994704">
      <w:pPr>
        <w:numPr>
          <w:ilvl w:val="0"/>
          <w:numId w:val="2"/>
        </w:numPr>
        <w:spacing w:line="240" w:lineRule="auto"/>
        <w:jc w:val="both"/>
        <w:rPr>
          <w:rFonts w:ascii="Times New Roman" w:hAnsi="Times New Roman" w:cs="Times New Roman"/>
          <w:sz w:val="24"/>
          <w:szCs w:val="24"/>
        </w:rPr>
      </w:pPr>
      <w:r w:rsidRPr="00994704">
        <w:rPr>
          <w:rFonts w:ascii="Times New Roman" w:hAnsi="Times New Roman" w:cs="Times New Roman"/>
          <w:sz w:val="24"/>
          <w:szCs w:val="24"/>
        </w:rPr>
        <w:lastRenderedPageBreak/>
        <w:t>Anvisa. Monografias autorizadas. Disponível em</w:t>
      </w:r>
      <w:proofErr w:type="gramStart"/>
      <w:r w:rsidRPr="00994704">
        <w:rPr>
          <w:rFonts w:ascii="Times New Roman" w:hAnsi="Times New Roman" w:cs="Times New Roman"/>
          <w:sz w:val="24"/>
          <w:szCs w:val="24"/>
        </w:rPr>
        <w:t>: .</w:t>
      </w:r>
      <w:proofErr w:type="gramEnd"/>
      <w:r w:rsidRPr="00994704">
        <w:rPr>
          <w:rFonts w:ascii="Times New Roman" w:hAnsi="Times New Roman" w:cs="Times New Roman"/>
          <w:sz w:val="24"/>
          <w:szCs w:val="24"/>
        </w:rPr>
        <w:t xml:space="preserve"> Acesso em: 6 maio. 2021.</w:t>
      </w:r>
    </w:p>
    <w:p w14:paraId="7F6B029D" w14:textId="77777777" w:rsidR="00994704" w:rsidRPr="00994704" w:rsidRDefault="00994704" w:rsidP="00994704">
      <w:pPr>
        <w:numPr>
          <w:ilvl w:val="0"/>
          <w:numId w:val="2"/>
        </w:numPr>
        <w:spacing w:line="240" w:lineRule="auto"/>
        <w:jc w:val="both"/>
        <w:rPr>
          <w:rFonts w:ascii="Times New Roman" w:hAnsi="Times New Roman" w:cs="Times New Roman"/>
          <w:sz w:val="24"/>
          <w:szCs w:val="24"/>
        </w:rPr>
      </w:pPr>
      <w:r w:rsidRPr="00994704">
        <w:rPr>
          <w:rFonts w:ascii="Times New Roman" w:hAnsi="Times New Roman" w:cs="Times New Roman"/>
          <w:sz w:val="24"/>
          <w:szCs w:val="24"/>
          <w:lang w:val="en-US"/>
        </w:rPr>
        <w:t xml:space="preserve">Baier, M., Foerster, J., Schnabel, U., Knorr, D., Ehlbeck, J., Herppich, W. B., &amp; Schlüter, O. Direct non-thermal plasma treatment for the sanitation of fresh corn salad leaves: Evaluation of physical and physiological effects and antimicrobial efficacy. </w:t>
      </w:r>
      <w:proofErr w:type="spellStart"/>
      <w:r w:rsidRPr="00994704">
        <w:rPr>
          <w:rFonts w:ascii="Times New Roman" w:hAnsi="Times New Roman" w:cs="Times New Roman"/>
          <w:sz w:val="24"/>
          <w:szCs w:val="24"/>
        </w:rPr>
        <w:t>Postharvest</w:t>
      </w:r>
      <w:proofErr w:type="spellEnd"/>
      <w:r w:rsidRPr="00994704">
        <w:rPr>
          <w:rFonts w:ascii="Times New Roman" w:hAnsi="Times New Roman" w:cs="Times New Roman"/>
          <w:sz w:val="24"/>
          <w:szCs w:val="24"/>
        </w:rPr>
        <w:t xml:space="preserve"> </w:t>
      </w:r>
      <w:proofErr w:type="spellStart"/>
      <w:r w:rsidRPr="00994704">
        <w:rPr>
          <w:rFonts w:ascii="Times New Roman" w:hAnsi="Times New Roman" w:cs="Times New Roman"/>
          <w:sz w:val="24"/>
          <w:szCs w:val="24"/>
        </w:rPr>
        <w:t>Biology</w:t>
      </w:r>
      <w:proofErr w:type="spellEnd"/>
      <w:r w:rsidRPr="00994704">
        <w:rPr>
          <w:rFonts w:ascii="Times New Roman" w:hAnsi="Times New Roman" w:cs="Times New Roman"/>
          <w:sz w:val="24"/>
          <w:szCs w:val="24"/>
        </w:rPr>
        <w:t xml:space="preserve"> </w:t>
      </w:r>
      <w:proofErr w:type="spellStart"/>
      <w:r w:rsidRPr="00994704">
        <w:rPr>
          <w:rFonts w:ascii="Times New Roman" w:hAnsi="Times New Roman" w:cs="Times New Roman"/>
          <w:sz w:val="24"/>
          <w:szCs w:val="24"/>
        </w:rPr>
        <w:t>and</w:t>
      </w:r>
      <w:proofErr w:type="spellEnd"/>
      <w:r w:rsidRPr="00994704">
        <w:rPr>
          <w:rFonts w:ascii="Times New Roman" w:hAnsi="Times New Roman" w:cs="Times New Roman"/>
          <w:sz w:val="24"/>
          <w:szCs w:val="24"/>
        </w:rPr>
        <w:t xml:space="preserve"> Technology, 84, 81–87, 2013.</w:t>
      </w:r>
    </w:p>
    <w:p w14:paraId="475048A8" w14:textId="77777777" w:rsidR="00994704" w:rsidRPr="00994704" w:rsidRDefault="00994704" w:rsidP="00994704">
      <w:pPr>
        <w:numPr>
          <w:ilvl w:val="0"/>
          <w:numId w:val="2"/>
        </w:numPr>
        <w:spacing w:line="240" w:lineRule="auto"/>
        <w:jc w:val="both"/>
        <w:rPr>
          <w:rFonts w:ascii="Times New Roman" w:hAnsi="Times New Roman" w:cs="Times New Roman"/>
          <w:sz w:val="24"/>
          <w:szCs w:val="24"/>
        </w:rPr>
      </w:pPr>
      <w:r w:rsidRPr="00994704">
        <w:rPr>
          <w:rFonts w:ascii="Times New Roman" w:hAnsi="Times New Roman" w:cs="Times New Roman"/>
          <w:sz w:val="24"/>
          <w:szCs w:val="24"/>
        </w:rPr>
        <w:t xml:space="preserve">FAO. </w:t>
      </w:r>
      <w:proofErr w:type="spellStart"/>
      <w:r w:rsidRPr="00994704">
        <w:rPr>
          <w:rFonts w:ascii="Times New Roman" w:hAnsi="Times New Roman" w:cs="Times New Roman"/>
          <w:sz w:val="24"/>
          <w:szCs w:val="24"/>
        </w:rPr>
        <w:t>Pesticides</w:t>
      </w:r>
      <w:proofErr w:type="spellEnd"/>
      <w:r w:rsidRPr="00994704">
        <w:rPr>
          <w:rFonts w:ascii="Times New Roman" w:hAnsi="Times New Roman" w:cs="Times New Roman"/>
          <w:sz w:val="24"/>
          <w:szCs w:val="24"/>
        </w:rPr>
        <w:t xml:space="preserve"> Trade. Disponível em</w:t>
      </w:r>
      <w:proofErr w:type="gramStart"/>
      <w:r w:rsidRPr="00994704">
        <w:rPr>
          <w:rFonts w:ascii="Times New Roman" w:hAnsi="Times New Roman" w:cs="Times New Roman"/>
          <w:sz w:val="24"/>
          <w:szCs w:val="24"/>
        </w:rPr>
        <w:t>: .</w:t>
      </w:r>
      <w:proofErr w:type="gramEnd"/>
      <w:r w:rsidRPr="00994704">
        <w:rPr>
          <w:rFonts w:ascii="Times New Roman" w:hAnsi="Times New Roman" w:cs="Times New Roman"/>
          <w:sz w:val="24"/>
          <w:szCs w:val="24"/>
        </w:rPr>
        <w:t xml:space="preserve"> Acesso em: 6 maio. 2021.</w:t>
      </w:r>
    </w:p>
    <w:p w14:paraId="6E00262D" w14:textId="77777777" w:rsidR="00994704" w:rsidRPr="00994704" w:rsidRDefault="00994704" w:rsidP="00994704">
      <w:pPr>
        <w:numPr>
          <w:ilvl w:val="0"/>
          <w:numId w:val="2"/>
        </w:numPr>
        <w:spacing w:line="240" w:lineRule="auto"/>
        <w:jc w:val="both"/>
        <w:rPr>
          <w:rFonts w:ascii="Times New Roman" w:hAnsi="Times New Roman" w:cs="Times New Roman"/>
          <w:sz w:val="24"/>
          <w:szCs w:val="24"/>
          <w:lang w:val="en-US"/>
        </w:rPr>
      </w:pPr>
      <w:r w:rsidRPr="00994704">
        <w:rPr>
          <w:rFonts w:ascii="Times New Roman" w:hAnsi="Times New Roman" w:cs="Times New Roman"/>
          <w:sz w:val="24"/>
          <w:szCs w:val="24"/>
          <w:lang w:val="en-US"/>
        </w:rPr>
        <w:t>I.</w:t>
      </w:r>
      <w:proofErr w:type="gramStart"/>
      <w:r w:rsidRPr="00994704">
        <w:rPr>
          <w:rFonts w:ascii="Times New Roman" w:hAnsi="Times New Roman" w:cs="Times New Roman"/>
          <w:sz w:val="24"/>
          <w:szCs w:val="24"/>
          <w:lang w:val="en-US"/>
        </w:rPr>
        <w:t>Joshi,D</w:t>
      </w:r>
      <w:proofErr w:type="gramEnd"/>
      <w:r w:rsidRPr="00994704">
        <w:rPr>
          <w:rFonts w:ascii="Times New Roman" w:hAnsi="Times New Roman" w:cs="Times New Roman"/>
          <w:sz w:val="24"/>
          <w:szCs w:val="24"/>
          <w:lang w:val="en-US"/>
        </w:rPr>
        <w:t>.Salvi,D.W.Schaffner,M.V.Karwe.</w:t>
      </w:r>
      <w:r w:rsidRPr="00994704">
        <w:rPr>
          <w:rFonts w:ascii="Times New Roman" w:hAnsi="Times New Roman" w:cs="Times New Roman"/>
          <w:b/>
          <w:bCs/>
          <w:sz w:val="24"/>
          <w:szCs w:val="24"/>
          <w:lang w:val="en-US"/>
        </w:rPr>
        <w:t>Characterization of microbial inactivation using plasma-activated water and plasma-activated acidified buffer.</w:t>
      </w:r>
      <w:r w:rsidRPr="00994704">
        <w:rPr>
          <w:rFonts w:ascii="Times New Roman" w:hAnsi="Times New Roman" w:cs="Times New Roman"/>
          <w:sz w:val="24"/>
          <w:szCs w:val="24"/>
          <w:lang w:val="en-US"/>
        </w:rPr>
        <w:t>Journal of Food Protection,81(9)(2018), pp.1472-1480,</w:t>
      </w:r>
      <w:hyperlink r:id="rId13" w:tgtFrame="_blank" w:history="1">
        <w:r w:rsidRPr="00994704">
          <w:rPr>
            <w:rStyle w:val="Hyperlink"/>
            <w:rFonts w:ascii="Times New Roman" w:hAnsi="Times New Roman" w:cs="Times New Roman"/>
            <w:sz w:val="24"/>
            <w:szCs w:val="24"/>
            <w:lang w:val="en-US"/>
          </w:rPr>
          <w:t>10.4315/0362-028X.JFP-17-487</w:t>
        </w:r>
      </w:hyperlink>
    </w:p>
    <w:p w14:paraId="16C581B0" w14:textId="77777777" w:rsidR="00994704" w:rsidRPr="00994704" w:rsidRDefault="00994704" w:rsidP="00994704">
      <w:pPr>
        <w:numPr>
          <w:ilvl w:val="0"/>
          <w:numId w:val="2"/>
        </w:numPr>
        <w:spacing w:line="240" w:lineRule="auto"/>
        <w:jc w:val="both"/>
        <w:rPr>
          <w:rFonts w:ascii="Times New Roman" w:hAnsi="Times New Roman" w:cs="Times New Roman"/>
          <w:sz w:val="24"/>
          <w:szCs w:val="24"/>
          <w:lang w:val="en-US"/>
        </w:rPr>
      </w:pPr>
      <w:r w:rsidRPr="00994704">
        <w:rPr>
          <w:rFonts w:ascii="Times New Roman" w:hAnsi="Times New Roman" w:cs="Times New Roman"/>
          <w:sz w:val="24"/>
          <w:szCs w:val="24"/>
          <w:lang w:val="en-US"/>
        </w:rPr>
        <w:t>E.Frías,Y.Iglesias,A.Alvarez-Ordóñez,M.Prieto,M.Gonzalez- Raurich,M.Lopez</w:t>
      </w:r>
    </w:p>
    <w:p w14:paraId="320D01CC" w14:textId="77777777" w:rsidR="00994704" w:rsidRPr="00994704" w:rsidRDefault="00994704" w:rsidP="00994704">
      <w:pPr>
        <w:numPr>
          <w:ilvl w:val="0"/>
          <w:numId w:val="2"/>
        </w:numPr>
        <w:spacing w:line="240" w:lineRule="auto"/>
        <w:jc w:val="both"/>
        <w:rPr>
          <w:rFonts w:ascii="Times New Roman" w:hAnsi="Times New Roman" w:cs="Times New Roman"/>
          <w:sz w:val="24"/>
          <w:szCs w:val="24"/>
        </w:rPr>
      </w:pPr>
      <w:r w:rsidRPr="00994704">
        <w:rPr>
          <w:rFonts w:ascii="Times New Roman" w:hAnsi="Times New Roman" w:cs="Times New Roman"/>
          <w:sz w:val="24"/>
          <w:szCs w:val="24"/>
          <w:lang w:val="en-US"/>
        </w:rPr>
        <w:t xml:space="preserve">E. Feliziani, G. Romanazzi. Postharvest decay of strawberry fruit: Etiology, epidemiology, and disease management. </w:t>
      </w:r>
      <w:proofErr w:type="spellStart"/>
      <w:r w:rsidRPr="00994704">
        <w:rPr>
          <w:rFonts w:ascii="Times New Roman" w:hAnsi="Times New Roman" w:cs="Times New Roman"/>
          <w:sz w:val="24"/>
          <w:szCs w:val="24"/>
        </w:rPr>
        <w:t>Journal</w:t>
      </w:r>
      <w:proofErr w:type="spellEnd"/>
      <w:r w:rsidRPr="00994704">
        <w:rPr>
          <w:rFonts w:ascii="Times New Roman" w:hAnsi="Times New Roman" w:cs="Times New Roman"/>
          <w:sz w:val="24"/>
          <w:szCs w:val="24"/>
        </w:rPr>
        <w:t xml:space="preserve"> </w:t>
      </w:r>
      <w:proofErr w:type="spellStart"/>
      <w:r w:rsidRPr="00994704">
        <w:rPr>
          <w:rFonts w:ascii="Times New Roman" w:hAnsi="Times New Roman" w:cs="Times New Roman"/>
          <w:sz w:val="24"/>
          <w:szCs w:val="24"/>
        </w:rPr>
        <w:t>of</w:t>
      </w:r>
      <w:proofErr w:type="spellEnd"/>
      <w:r w:rsidRPr="00994704">
        <w:rPr>
          <w:rFonts w:ascii="Times New Roman" w:hAnsi="Times New Roman" w:cs="Times New Roman"/>
          <w:sz w:val="24"/>
          <w:szCs w:val="24"/>
        </w:rPr>
        <w:t xml:space="preserve"> Berry </w:t>
      </w:r>
      <w:proofErr w:type="spellStart"/>
      <w:r w:rsidRPr="00994704">
        <w:rPr>
          <w:rFonts w:ascii="Times New Roman" w:hAnsi="Times New Roman" w:cs="Times New Roman"/>
          <w:sz w:val="24"/>
          <w:szCs w:val="24"/>
        </w:rPr>
        <w:t>Research</w:t>
      </w:r>
      <w:proofErr w:type="spellEnd"/>
      <w:r w:rsidRPr="00994704">
        <w:rPr>
          <w:rFonts w:ascii="Times New Roman" w:hAnsi="Times New Roman" w:cs="Times New Roman"/>
          <w:sz w:val="24"/>
          <w:szCs w:val="24"/>
        </w:rPr>
        <w:t> (2016).</w:t>
      </w:r>
    </w:p>
    <w:p w14:paraId="380AC62D" w14:textId="77777777" w:rsidR="00994704" w:rsidRPr="00994704" w:rsidRDefault="00994704" w:rsidP="00994704">
      <w:pPr>
        <w:numPr>
          <w:ilvl w:val="0"/>
          <w:numId w:val="2"/>
        </w:numPr>
        <w:spacing w:line="240" w:lineRule="auto"/>
        <w:jc w:val="both"/>
        <w:rPr>
          <w:rFonts w:ascii="Times New Roman" w:hAnsi="Times New Roman" w:cs="Times New Roman"/>
          <w:sz w:val="24"/>
          <w:szCs w:val="24"/>
          <w:lang w:val="en-US"/>
        </w:rPr>
      </w:pPr>
      <w:proofErr w:type="spellStart"/>
      <w:r w:rsidRPr="00994704">
        <w:rPr>
          <w:rFonts w:ascii="Times New Roman" w:hAnsi="Times New Roman" w:cs="Times New Roman"/>
          <w:sz w:val="24"/>
          <w:szCs w:val="24"/>
          <w:lang w:val="en-US"/>
        </w:rPr>
        <w:t>Khanh</w:t>
      </w:r>
      <w:proofErr w:type="spellEnd"/>
      <w:r w:rsidRPr="00994704">
        <w:rPr>
          <w:rFonts w:ascii="Times New Roman" w:hAnsi="Times New Roman" w:cs="Times New Roman"/>
          <w:sz w:val="24"/>
          <w:szCs w:val="24"/>
          <w:lang w:val="en-US"/>
        </w:rPr>
        <w:t xml:space="preserve"> </w:t>
      </w:r>
      <w:proofErr w:type="spellStart"/>
      <w:r w:rsidRPr="00994704">
        <w:rPr>
          <w:rFonts w:ascii="Times New Roman" w:hAnsi="Times New Roman" w:cs="Times New Roman"/>
          <w:sz w:val="24"/>
          <w:szCs w:val="24"/>
          <w:lang w:val="en-US"/>
        </w:rPr>
        <w:t>Thi</w:t>
      </w:r>
      <w:proofErr w:type="spellEnd"/>
      <w:r w:rsidRPr="00994704">
        <w:rPr>
          <w:rFonts w:ascii="Times New Roman" w:hAnsi="Times New Roman" w:cs="Times New Roman"/>
          <w:sz w:val="24"/>
          <w:szCs w:val="24"/>
          <w:lang w:val="en-US"/>
        </w:rPr>
        <w:t xml:space="preserve"> Kim Phan, Huan Tai Phan, </w:t>
      </w:r>
      <w:proofErr w:type="spellStart"/>
      <w:r w:rsidRPr="00994704">
        <w:rPr>
          <w:rFonts w:ascii="Times New Roman" w:hAnsi="Times New Roman" w:cs="Times New Roman"/>
          <w:sz w:val="24"/>
          <w:szCs w:val="24"/>
          <w:lang w:val="en-US"/>
        </w:rPr>
        <w:t>Dheerawan</w:t>
      </w:r>
      <w:proofErr w:type="spellEnd"/>
      <w:r w:rsidRPr="00994704">
        <w:rPr>
          <w:rFonts w:ascii="Times New Roman" w:hAnsi="Times New Roman" w:cs="Times New Roman"/>
          <w:sz w:val="24"/>
          <w:szCs w:val="24"/>
          <w:lang w:val="en-US"/>
        </w:rPr>
        <w:t xml:space="preserve"> </w:t>
      </w:r>
      <w:proofErr w:type="spellStart"/>
      <w:r w:rsidRPr="00994704">
        <w:rPr>
          <w:rFonts w:ascii="Times New Roman" w:hAnsi="Times New Roman" w:cs="Times New Roman"/>
          <w:sz w:val="24"/>
          <w:szCs w:val="24"/>
          <w:lang w:val="en-US"/>
        </w:rPr>
        <w:t>Boonyawan</w:t>
      </w:r>
      <w:proofErr w:type="spellEnd"/>
      <w:r w:rsidRPr="00994704">
        <w:rPr>
          <w:rFonts w:ascii="Times New Roman" w:hAnsi="Times New Roman" w:cs="Times New Roman"/>
          <w:sz w:val="24"/>
          <w:szCs w:val="24"/>
          <w:lang w:val="en-US"/>
        </w:rPr>
        <w:t xml:space="preserve">, </w:t>
      </w:r>
      <w:proofErr w:type="spellStart"/>
      <w:r w:rsidRPr="00994704">
        <w:rPr>
          <w:rFonts w:ascii="Times New Roman" w:hAnsi="Times New Roman" w:cs="Times New Roman"/>
          <w:sz w:val="24"/>
          <w:szCs w:val="24"/>
          <w:lang w:val="en-US"/>
        </w:rPr>
        <w:t>Pilairuk</w:t>
      </w:r>
      <w:proofErr w:type="spellEnd"/>
      <w:r w:rsidRPr="00994704">
        <w:rPr>
          <w:rFonts w:ascii="Times New Roman" w:hAnsi="Times New Roman" w:cs="Times New Roman"/>
          <w:sz w:val="24"/>
          <w:szCs w:val="24"/>
          <w:lang w:val="en-US"/>
        </w:rPr>
        <w:t xml:space="preserve"> </w:t>
      </w:r>
      <w:proofErr w:type="spellStart"/>
      <w:r w:rsidRPr="00994704">
        <w:rPr>
          <w:rFonts w:ascii="Times New Roman" w:hAnsi="Times New Roman" w:cs="Times New Roman"/>
          <w:sz w:val="24"/>
          <w:szCs w:val="24"/>
          <w:lang w:val="en-US"/>
        </w:rPr>
        <w:t>Intipunya</w:t>
      </w:r>
      <w:proofErr w:type="spellEnd"/>
      <w:r w:rsidRPr="00994704">
        <w:rPr>
          <w:rFonts w:ascii="Times New Roman" w:hAnsi="Times New Roman" w:cs="Times New Roman"/>
          <w:sz w:val="24"/>
          <w:szCs w:val="24"/>
          <w:lang w:val="en-US"/>
        </w:rPr>
        <w:t xml:space="preserve">, Charles S. Brennan, Joe M. Regenstein, </w:t>
      </w:r>
      <w:proofErr w:type="spellStart"/>
      <w:r w:rsidRPr="00994704">
        <w:rPr>
          <w:rFonts w:ascii="Times New Roman" w:hAnsi="Times New Roman" w:cs="Times New Roman"/>
          <w:sz w:val="24"/>
          <w:szCs w:val="24"/>
          <w:lang w:val="en-US"/>
        </w:rPr>
        <w:t>Yuthana</w:t>
      </w:r>
      <w:proofErr w:type="spellEnd"/>
      <w:r w:rsidRPr="00994704">
        <w:rPr>
          <w:rFonts w:ascii="Times New Roman" w:hAnsi="Times New Roman" w:cs="Times New Roman"/>
          <w:sz w:val="24"/>
          <w:szCs w:val="24"/>
          <w:lang w:val="en-US"/>
        </w:rPr>
        <w:t xml:space="preserve"> </w:t>
      </w:r>
      <w:proofErr w:type="spellStart"/>
      <w:r w:rsidRPr="00994704">
        <w:rPr>
          <w:rFonts w:ascii="Times New Roman" w:hAnsi="Times New Roman" w:cs="Times New Roman"/>
          <w:sz w:val="24"/>
          <w:szCs w:val="24"/>
          <w:lang w:val="en-US"/>
        </w:rPr>
        <w:t>Phimolsiripol</w:t>
      </w:r>
      <w:proofErr w:type="spellEnd"/>
      <w:r w:rsidRPr="00994704">
        <w:rPr>
          <w:rFonts w:ascii="Times New Roman" w:hAnsi="Times New Roman" w:cs="Times New Roman"/>
          <w:sz w:val="24"/>
          <w:szCs w:val="24"/>
          <w:lang w:val="en-US"/>
        </w:rPr>
        <w:t>, Non-thermal plasma for elimination of pesticide residues in mango, Innovative Food Science &amp; Emerging Technologies, Volume 48, 2018, Pages 164-171, ISSN 1466-8564, https://doi.org/10.1016/j.ifset.2018.06.009.</w:t>
      </w:r>
    </w:p>
    <w:p w14:paraId="106188BD" w14:textId="77777777" w:rsidR="00994704" w:rsidRPr="00994704" w:rsidRDefault="00994704" w:rsidP="00994704">
      <w:pPr>
        <w:numPr>
          <w:ilvl w:val="0"/>
          <w:numId w:val="2"/>
        </w:numPr>
        <w:spacing w:line="240" w:lineRule="auto"/>
        <w:jc w:val="both"/>
        <w:rPr>
          <w:rFonts w:ascii="Times New Roman" w:hAnsi="Times New Roman" w:cs="Times New Roman"/>
          <w:sz w:val="24"/>
          <w:szCs w:val="24"/>
        </w:rPr>
      </w:pPr>
      <w:r w:rsidRPr="00994704">
        <w:rPr>
          <w:rFonts w:ascii="Times New Roman" w:hAnsi="Times New Roman" w:cs="Times New Roman"/>
          <w:sz w:val="24"/>
          <w:szCs w:val="24"/>
          <w:lang w:val="en-US"/>
        </w:rPr>
        <w:t>L. Garnier, F. Valence, J. </w:t>
      </w:r>
      <w:proofErr w:type="spellStart"/>
      <w:r w:rsidRPr="00994704">
        <w:rPr>
          <w:rFonts w:ascii="Times New Roman" w:hAnsi="Times New Roman" w:cs="Times New Roman"/>
          <w:sz w:val="24"/>
          <w:szCs w:val="24"/>
          <w:lang w:val="en-US"/>
        </w:rPr>
        <w:t>Mounier</w:t>
      </w:r>
      <w:proofErr w:type="spellEnd"/>
      <w:r w:rsidRPr="00994704">
        <w:rPr>
          <w:rFonts w:ascii="Times New Roman" w:hAnsi="Times New Roman" w:cs="Times New Roman"/>
          <w:sz w:val="24"/>
          <w:szCs w:val="24"/>
          <w:lang w:val="en-US"/>
        </w:rPr>
        <w:t xml:space="preserve">. Diversity and control of spoilage fungi in dairy products: An update. </w:t>
      </w:r>
      <w:proofErr w:type="spellStart"/>
      <w:r w:rsidRPr="00994704">
        <w:rPr>
          <w:rFonts w:ascii="Times New Roman" w:hAnsi="Times New Roman" w:cs="Times New Roman"/>
          <w:sz w:val="24"/>
          <w:szCs w:val="24"/>
        </w:rPr>
        <w:t>Microorganisms</w:t>
      </w:r>
      <w:proofErr w:type="spellEnd"/>
      <w:r w:rsidRPr="00994704">
        <w:rPr>
          <w:rFonts w:ascii="Times New Roman" w:hAnsi="Times New Roman" w:cs="Times New Roman"/>
          <w:sz w:val="24"/>
          <w:szCs w:val="24"/>
        </w:rPr>
        <w:t>, 5 (3) (2017), p. 42.</w:t>
      </w:r>
    </w:p>
    <w:p w14:paraId="08C76CB7" w14:textId="77777777" w:rsidR="00994704" w:rsidRPr="00994704" w:rsidRDefault="00994704" w:rsidP="00994704">
      <w:pPr>
        <w:numPr>
          <w:ilvl w:val="0"/>
          <w:numId w:val="2"/>
        </w:numPr>
        <w:spacing w:line="240" w:lineRule="auto"/>
        <w:jc w:val="both"/>
        <w:rPr>
          <w:rFonts w:ascii="Times New Roman" w:hAnsi="Times New Roman" w:cs="Times New Roman"/>
          <w:sz w:val="24"/>
          <w:szCs w:val="24"/>
        </w:rPr>
      </w:pPr>
      <w:r w:rsidRPr="00994704">
        <w:rPr>
          <w:rFonts w:ascii="Times New Roman" w:hAnsi="Times New Roman" w:cs="Times New Roman"/>
          <w:sz w:val="24"/>
          <w:szCs w:val="24"/>
        </w:rPr>
        <w:t>M.L. Fernández-Cruz, M.L. </w:t>
      </w:r>
      <w:proofErr w:type="spellStart"/>
      <w:r w:rsidRPr="00994704">
        <w:rPr>
          <w:rFonts w:ascii="Times New Roman" w:hAnsi="Times New Roman" w:cs="Times New Roman"/>
          <w:sz w:val="24"/>
          <w:szCs w:val="24"/>
        </w:rPr>
        <w:t>Mansilla</w:t>
      </w:r>
      <w:proofErr w:type="spellEnd"/>
      <w:r w:rsidRPr="00994704">
        <w:rPr>
          <w:rFonts w:ascii="Times New Roman" w:hAnsi="Times New Roman" w:cs="Times New Roman"/>
          <w:sz w:val="24"/>
          <w:szCs w:val="24"/>
        </w:rPr>
        <w:t>, J.L. </w:t>
      </w:r>
      <w:proofErr w:type="spellStart"/>
      <w:r w:rsidRPr="00994704">
        <w:rPr>
          <w:rFonts w:ascii="Times New Roman" w:hAnsi="Times New Roman" w:cs="Times New Roman"/>
          <w:sz w:val="24"/>
          <w:szCs w:val="24"/>
        </w:rPr>
        <w:t>Tadeo</w:t>
      </w:r>
      <w:proofErr w:type="spellEnd"/>
      <w:r w:rsidRPr="00994704">
        <w:rPr>
          <w:rFonts w:ascii="Times New Roman" w:hAnsi="Times New Roman" w:cs="Times New Roman"/>
          <w:sz w:val="24"/>
          <w:szCs w:val="24"/>
        </w:rPr>
        <w:t xml:space="preserve">. </w:t>
      </w:r>
      <w:r w:rsidRPr="00994704">
        <w:rPr>
          <w:rFonts w:ascii="Times New Roman" w:hAnsi="Times New Roman" w:cs="Times New Roman"/>
          <w:sz w:val="24"/>
          <w:szCs w:val="24"/>
          <w:lang w:val="en-US"/>
        </w:rPr>
        <w:t xml:space="preserve">Mycotoxins in fruits and their processed products: Analysis, occurrence and health implications. </w:t>
      </w:r>
      <w:proofErr w:type="spellStart"/>
      <w:r w:rsidRPr="00994704">
        <w:rPr>
          <w:rFonts w:ascii="Times New Roman" w:hAnsi="Times New Roman" w:cs="Times New Roman"/>
          <w:sz w:val="24"/>
          <w:szCs w:val="24"/>
        </w:rPr>
        <w:t>Journal</w:t>
      </w:r>
      <w:proofErr w:type="spellEnd"/>
      <w:r w:rsidRPr="00994704">
        <w:rPr>
          <w:rFonts w:ascii="Times New Roman" w:hAnsi="Times New Roman" w:cs="Times New Roman"/>
          <w:sz w:val="24"/>
          <w:szCs w:val="24"/>
        </w:rPr>
        <w:t xml:space="preserve"> </w:t>
      </w:r>
      <w:proofErr w:type="spellStart"/>
      <w:r w:rsidRPr="00994704">
        <w:rPr>
          <w:rFonts w:ascii="Times New Roman" w:hAnsi="Times New Roman" w:cs="Times New Roman"/>
          <w:sz w:val="24"/>
          <w:szCs w:val="24"/>
        </w:rPr>
        <w:t>of</w:t>
      </w:r>
      <w:proofErr w:type="spellEnd"/>
      <w:r w:rsidRPr="00994704">
        <w:rPr>
          <w:rFonts w:ascii="Times New Roman" w:hAnsi="Times New Roman" w:cs="Times New Roman"/>
          <w:sz w:val="24"/>
          <w:szCs w:val="24"/>
        </w:rPr>
        <w:t xml:space="preserve"> </w:t>
      </w:r>
      <w:proofErr w:type="spellStart"/>
      <w:r w:rsidRPr="00994704">
        <w:rPr>
          <w:rFonts w:ascii="Times New Roman" w:hAnsi="Times New Roman" w:cs="Times New Roman"/>
          <w:sz w:val="24"/>
          <w:szCs w:val="24"/>
        </w:rPr>
        <w:t>Advanced</w:t>
      </w:r>
      <w:proofErr w:type="spellEnd"/>
      <w:r w:rsidRPr="00994704">
        <w:rPr>
          <w:rFonts w:ascii="Times New Roman" w:hAnsi="Times New Roman" w:cs="Times New Roman"/>
          <w:sz w:val="24"/>
          <w:szCs w:val="24"/>
        </w:rPr>
        <w:t xml:space="preserve"> </w:t>
      </w:r>
      <w:proofErr w:type="spellStart"/>
      <w:r w:rsidRPr="00994704">
        <w:rPr>
          <w:rFonts w:ascii="Times New Roman" w:hAnsi="Times New Roman" w:cs="Times New Roman"/>
          <w:sz w:val="24"/>
          <w:szCs w:val="24"/>
        </w:rPr>
        <w:t>Research</w:t>
      </w:r>
      <w:proofErr w:type="spellEnd"/>
      <w:r w:rsidRPr="00994704">
        <w:rPr>
          <w:rFonts w:ascii="Times New Roman" w:hAnsi="Times New Roman" w:cs="Times New Roman"/>
          <w:sz w:val="24"/>
          <w:szCs w:val="24"/>
        </w:rPr>
        <w:t>, 1 (2) (2010), pp. 113-122.</w:t>
      </w:r>
    </w:p>
    <w:p w14:paraId="65A268D8" w14:textId="77777777" w:rsidR="00994704" w:rsidRPr="00994704" w:rsidRDefault="00994704" w:rsidP="00994704">
      <w:pPr>
        <w:numPr>
          <w:ilvl w:val="0"/>
          <w:numId w:val="2"/>
        </w:numPr>
        <w:spacing w:line="240" w:lineRule="auto"/>
        <w:jc w:val="both"/>
        <w:rPr>
          <w:rFonts w:ascii="Times New Roman" w:hAnsi="Times New Roman" w:cs="Times New Roman"/>
          <w:sz w:val="24"/>
          <w:szCs w:val="24"/>
          <w:lang w:val="en-US"/>
        </w:rPr>
      </w:pPr>
      <w:proofErr w:type="spellStart"/>
      <w:proofErr w:type="gramStart"/>
      <w:r w:rsidRPr="00994704">
        <w:rPr>
          <w:rFonts w:ascii="Times New Roman" w:hAnsi="Times New Roman" w:cs="Times New Roman"/>
          <w:sz w:val="24"/>
          <w:szCs w:val="24"/>
          <w:lang w:val="en-US"/>
        </w:rPr>
        <w:t>J.Qian</w:t>
      </w:r>
      <w:proofErr w:type="gramEnd"/>
      <w:r w:rsidRPr="00994704">
        <w:rPr>
          <w:rFonts w:ascii="Times New Roman" w:hAnsi="Times New Roman" w:cs="Times New Roman"/>
          <w:sz w:val="24"/>
          <w:szCs w:val="24"/>
          <w:lang w:val="en-US"/>
        </w:rPr>
        <w:t>,H.Zhuang,M.M.Nasiru,U.Muhammad,J.Zhang,W.Yan.</w:t>
      </w:r>
      <w:r w:rsidRPr="00994704">
        <w:rPr>
          <w:rFonts w:ascii="Times New Roman" w:hAnsi="Times New Roman" w:cs="Times New Roman"/>
          <w:b/>
          <w:bCs/>
          <w:sz w:val="24"/>
          <w:szCs w:val="24"/>
          <w:lang w:val="en-US"/>
        </w:rPr>
        <w:t>Action</w:t>
      </w:r>
      <w:proofErr w:type="spellEnd"/>
      <w:r w:rsidRPr="00994704">
        <w:rPr>
          <w:rFonts w:ascii="Times New Roman" w:hAnsi="Times New Roman" w:cs="Times New Roman"/>
          <w:b/>
          <w:bCs/>
          <w:sz w:val="24"/>
          <w:szCs w:val="24"/>
          <w:lang w:val="en-US"/>
        </w:rPr>
        <w:t xml:space="preserve"> of plasma-activated lactic acid on the inactivation of </w:t>
      </w:r>
      <w:proofErr w:type="spellStart"/>
      <w:r w:rsidRPr="00994704">
        <w:rPr>
          <w:rFonts w:ascii="Times New Roman" w:hAnsi="Times New Roman" w:cs="Times New Roman"/>
          <w:b/>
          <w:bCs/>
          <w:sz w:val="24"/>
          <w:szCs w:val="24"/>
          <w:lang w:val="en-US"/>
        </w:rPr>
        <w:t>inoculated</w:t>
      </w:r>
      <w:r w:rsidRPr="00994704">
        <w:rPr>
          <w:rFonts w:ascii="Times New Roman" w:hAnsi="Times New Roman" w:cs="Times New Roman"/>
          <w:i/>
          <w:iCs/>
          <w:sz w:val="24"/>
          <w:szCs w:val="24"/>
          <w:lang w:val="en-US"/>
        </w:rPr>
        <w:t>Salmonella</w:t>
      </w:r>
      <w:r w:rsidRPr="00994704">
        <w:rPr>
          <w:rFonts w:ascii="Times New Roman" w:hAnsi="Times New Roman" w:cs="Times New Roman"/>
          <w:b/>
          <w:bCs/>
          <w:sz w:val="24"/>
          <w:szCs w:val="24"/>
          <w:lang w:val="en-US"/>
        </w:rPr>
        <w:t>Enteritidis</w:t>
      </w:r>
      <w:proofErr w:type="spellEnd"/>
      <w:r w:rsidRPr="00994704">
        <w:rPr>
          <w:rFonts w:ascii="Times New Roman" w:hAnsi="Times New Roman" w:cs="Times New Roman"/>
          <w:b/>
          <w:bCs/>
          <w:sz w:val="24"/>
          <w:szCs w:val="24"/>
          <w:lang w:val="en-US"/>
        </w:rPr>
        <w:t xml:space="preserve"> and quality of </w:t>
      </w:r>
      <w:proofErr w:type="spellStart"/>
      <w:r w:rsidRPr="00994704">
        <w:rPr>
          <w:rFonts w:ascii="Times New Roman" w:hAnsi="Times New Roman" w:cs="Times New Roman"/>
          <w:b/>
          <w:bCs/>
          <w:sz w:val="24"/>
          <w:szCs w:val="24"/>
          <w:lang w:val="en-US"/>
        </w:rPr>
        <w:t>beef.</w:t>
      </w:r>
      <w:r w:rsidRPr="00994704">
        <w:rPr>
          <w:rFonts w:ascii="Times New Roman" w:hAnsi="Times New Roman" w:cs="Times New Roman"/>
          <w:sz w:val="24"/>
          <w:szCs w:val="24"/>
          <w:lang w:val="en-US"/>
        </w:rPr>
        <w:t>Innovative</w:t>
      </w:r>
      <w:proofErr w:type="spellEnd"/>
      <w:r w:rsidRPr="00994704">
        <w:rPr>
          <w:rFonts w:ascii="Times New Roman" w:hAnsi="Times New Roman" w:cs="Times New Roman"/>
          <w:sz w:val="24"/>
          <w:szCs w:val="24"/>
          <w:lang w:val="en-US"/>
        </w:rPr>
        <w:t xml:space="preserve"> Food Science and Emerging Technologies,57(2019), Article102196,</w:t>
      </w:r>
      <w:hyperlink r:id="rId14" w:tgtFrame="_blank" w:history="1">
        <w:r w:rsidRPr="00994704">
          <w:rPr>
            <w:rStyle w:val="Hyperlink"/>
            <w:rFonts w:ascii="Times New Roman" w:hAnsi="Times New Roman" w:cs="Times New Roman"/>
            <w:sz w:val="24"/>
            <w:szCs w:val="24"/>
            <w:lang w:val="en-US"/>
          </w:rPr>
          <w:t>10.1016/j.ifset.2019.102196</w:t>
        </w:r>
      </w:hyperlink>
      <w:r w:rsidRPr="00994704">
        <w:rPr>
          <w:rFonts w:ascii="Times New Roman" w:hAnsi="Times New Roman" w:cs="Times New Roman"/>
          <w:sz w:val="24"/>
          <w:szCs w:val="24"/>
          <w:lang w:val="en-US"/>
        </w:rPr>
        <w:t>.</w:t>
      </w:r>
    </w:p>
    <w:p w14:paraId="4D169685" w14:textId="77777777" w:rsidR="00994704" w:rsidRDefault="00994704" w:rsidP="00994704">
      <w:pPr>
        <w:numPr>
          <w:ilvl w:val="0"/>
          <w:numId w:val="2"/>
        </w:numPr>
        <w:spacing w:line="240" w:lineRule="auto"/>
        <w:jc w:val="both"/>
        <w:rPr>
          <w:rFonts w:ascii="Times New Roman" w:hAnsi="Times New Roman" w:cs="Times New Roman"/>
          <w:sz w:val="24"/>
          <w:szCs w:val="24"/>
        </w:rPr>
      </w:pPr>
      <w:r w:rsidRPr="00994704">
        <w:rPr>
          <w:rFonts w:ascii="Times New Roman" w:hAnsi="Times New Roman" w:cs="Times New Roman"/>
          <w:sz w:val="24"/>
          <w:szCs w:val="24"/>
          <w:lang w:val="en-US"/>
        </w:rPr>
        <w:t>PANKAJ, S. K., BUENO-FERRER, C., MISRA, N. N., MILOSAVLJEVIC &amp;</w:t>
      </w:r>
      <w:proofErr w:type="gramStart"/>
      <w:r w:rsidRPr="00994704">
        <w:rPr>
          <w:rFonts w:ascii="Times New Roman" w:hAnsi="Times New Roman" w:cs="Times New Roman"/>
          <w:sz w:val="24"/>
          <w:szCs w:val="24"/>
          <w:lang w:val="en-US"/>
        </w:rPr>
        <w:t>769;,</w:t>
      </w:r>
      <w:proofErr w:type="gramEnd"/>
      <w:r w:rsidRPr="00994704">
        <w:rPr>
          <w:rFonts w:ascii="Times New Roman" w:hAnsi="Times New Roman" w:cs="Times New Roman"/>
          <w:sz w:val="24"/>
          <w:szCs w:val="24"/>
          <w:lang w:val="en-US"/>
        </w:rPr>
        <w:t xml:space="preserve"> V., O’DONNELL, C. P., BOURKE, P., ... Cullen, P. J. Applications of cold plasma technology in food packaging. </w:t>
      </w:r>
      <w:proofErr w:type="spellStart"/>
      <w:r w:rsidRPr="00994704">
        <w:rPr>
          <w:rFonts w:ascii="Times New Roman" w:hAnsi="Times New Roman" w:cs="Times New Roman"/>
          <w:sz w:val="24"/>
          <w:szCs w:val="24"/>
        </w:rPr>
        <w:t>Trends</w:t>
      </w:r>
      <w:proofErr w:type="spellEnd"/>
      <w:r w:rsidRPr="00994704">
        <w:rPr>
          <w:rFonts w:ascii="Times New Roman" w:hAnsi="Times New Roman" w:cs="Times New Roman"/>
          <w:sz w:val="24"/>
          <w:szCs w:val="24"/>
        </w:rPr>
        <w:t xml:space="preserve"> in </w:t>
      </w:r>
      <w:proofErr w:type="spellStart"/>
      <w:r w:rsidRPr="00994704">
        <w:rPr>
          <w:rFonts w:ascii="Times New Roman" w:hAnsi="Times New Roman" w:cs="Times New Roman"/>
          <w:sz w:val="24"/>
          <w:szCs w:val="24"/>
        </w:rPr>
        <w:t>Food</w:t>
      </w:r>
      <w:proofErr w:type="spellEnd"/>
      <w:r w:rsidRPr="00994704">
        <w:rPr>
          <w:rFonts w:ascii="Times New Roman" w:hAnsi="Times New Roman" w:cs="Times New Roman"/>
          <w:sz w:val="24"/>
          <w:szCs w:val="24"/>
        </w:rPr>
        <w:t xml:space="preserve"> Science &amp; Technology, 35(1), 5–17. 2014.</w:t>
      </w:r>
    </w:p>
    <w:p w14:paraId="6D966A05" w14:textId="77777777" w:rsidR="00994704" w:rsidRDefault="00994704" w:rsidP="00994704">
      <w:pPr>
        <w:numPr>
          <w:ilvl w:val="0"/>
          <w:numId w:val="2"/>
        </w:numPr>
        <w:spacing w:line="240" w:lineRule="auto"/>
        <w:jc w:val="both"/>
        <w:rPr>
          <w:rFonts w:ascii="Times New Roman" w:hAnsi="Times New Roman" w:cs="Times New Roman"/>
          <w:sz w:val="24"/>
          <w:szCs w:val="24"/>
        </w:rPr>
      </w:pPr>
      <w:r w:rsidRPr="00994704">
        <w:rPr>
          <w:rFonts w:ascii="Times New Roman" w:hAnsi="Times New Roman" w:cs="Times New Roman"/>
          <w:sz w:val="24"/>
          <w:szCs w:val="24"/>
          <w:lang w:val="en-US"/>
        </w:rPr>
        <w:t xml:space="preserve">IARC. IARC Monograph on Glyphosate. </w:t>
      </w:r>
      <w:r w:rsidRPr="00994704">
        <w:rPr>
          <w:rFonts w:ascii="Times New Roman" w:hAnsi="Times New Roman" w:cs="Times New Roman"/>
          <w:sz w:val="24"/>
          <w:szCs w:val="24"/>
        </w:rPr>
        <w:t>Disponível em</w:t>
      </w:r>
      <w:proofErr w:type="gramStart"/>
      <w:r w:rsidRPr="00994704">
        <w:rPr>
          <w:rFonts w:ascii="Times New Roman" w:hAnsi="Times New Roman" w:cs="Times New Roman"/>
          <w:sz w:val="24"/>
          <w:szCs w:val="24"/>
        </w:rPr>
        <w:t>: .</w:t>
      </w:r>
      <w:proofErr w:type="gramEnd"/>
      <w:r w:rsidRPr="00994704">
        <w:rPr>
          <w:rFonts w:ascii="Times New Roman" w:hAnsi="Times New Roman" w:cs="Times New Roman"/>
          <w:sz w:val="24"/>
          <w:szCs w:val="24"/>
        </w:rPr>
        <w:t xml:space="preserve"> Acesso em: 6 maio. 2021.</w:t>
      </w:r>
    </w:p>
    <w:p w14:paraId="5211A82F" w14:textId="02CF810C" w:rsidR="00994704" w:rsidRPr="00994704" w:rsidRDefault="00994704" w:rsidP="00994704">
      <w:pPr>
        <w:numPr>
          <w:ilvl w:val="0"/>
          <w:numId w:val="2"/>
        </w:numPr>
        <w:spacing w:line="240" w:lineRule="auto"/>
        <w:jc w:val="both"/>
        <w:rPr>
          <w:rFonts w:ascii="Times New Roman" w:hAnsi="Times New Roman" w:cs="Times New Roman"/>
          <w:sz w:val="24"/>
          <w:szCs w:val="24"/>
        </w:rPr>
      </w:pPr>
      <w:r w:rsidRPr="00994704">
        <w:rPr>
          <w:rFonts w:ascii="Times New Roman" w:hAnsi="Times New Roman" w:cs="Times New Roman"/>
          <w:sz w:val="24"/>
          <w:szCs w:val="24"/>
          <w:lang w:val="en-US"/>
        </w:rPr>
        <w:t xml:space="preserve">Luksiene, Z., Buchovec, I., &amp; Viskelis, P. (2013). Impact of high-power pulsed light on microbial contamination, health promoting components and shelf life of strawberries. </w:t>
      </w:r>
      <w:proofErr w:type="spellStart"/>
      <w:r w:rsidRPr="00994704">
        <w:rPr>
          <w:rFonts w:ascii="Times New Roman" w:hAnsi="Times New Roman" w:cs="Times New Roman"/>
          <w:sz w:val="24"/>
          <w:szCs w:val="24"/>
        </w:rPr>
        <w:t>Food</w:t>
      </w:r>
      <w:proofErr w:type="spellEnd"/>
      <w:r w:rsidRPr="00994704">
        <w:rPr>
          <w:rFonts w:ascii="Times New Roman" w:hAnsi="Times New Roman" w:cs="Times New Roman"/>
          <w:sz w:val="24"/>
          <w:szCs w:val="24"/>
        </w:rPr>
        <w:t xml:space="preserve"> Technology </w:t>
      </w:r>
      <w:proofErr w:type="spellStart"/>
      <w:r w:rsidRPr="00994704">
        <w:rPr>
          <w:rFonts w:ascii="Times New Roman" w:hAnsi="Times New Roman" w:cs="Times New Roman"/>
          <w:sz w:val="24"/>
          <w:szCs w:val="24"/>
        </w:rPr>
        <w:t>and</w:t>
      </w:r>
      <w:proofErr w:type="spellEnd"/>
      <w:r w:rsidRPr="00994704">
        <w:rPr>
          <w:rFonts w:ascii="Times New Roman" w:hAnsi="Times New Roman" w:cs="Times New Roman"/>
          <w:sz w:val="24"/>
          <w:szCs w:val="24"/>
        </w:rPr>
        <w:t xml:space="preserve"> </w:t>
      </w:r>
      <w:proofErr w:type="spellStart"/>
      <w:r w:rsidRPr="00994704">
        <w:rPr>
          <w:rFonts w:ascii="Times New Roman" w:hAnsi="Times New Roman" w:cs="Times New Roman"/>
          <w:sz w:val="24"/>
          <w:szCs w:val="24"/>
        </w:rPr>
        <w:t>Biotechnology</w:t>
      </w:r>
      <w:proofErr w:type="spellEnd"/>
      <w:r w:rsidRPr="00994704">
        <w:rPr>
          <w:rFonts w:ascii="Times New Roman" w:hAnsi="Times New Roman" w:cs="Times New Roman"/>
          <w:sz w:val="24"/>
          <w:szCs w:val="24"/>
        </w:rPr>
        <w:t>, 51, 284.</w:t>
      </w:r>
    </w:p>
    <w:p w14:paraId="3520B8D7" w14:textId="77777777" w:rsidR="009576F2" w:rsidRPr="009576F2" w:rsidRDefault="009576F2" w:rsidP="00C14AE6">
      <w:pPr>
        <w:spacing w:line="240" w:lineRule="auto"/>
        <w:jc w:val="both"/>
        <w:rPr>
          <w:rFonts w:ascii="Times New Roman" w:hAnsi="Times New Roman" w:cs="Times New Roman"/>
          <w:sz w:val="18"/>
          <w:szCs w:val="18"/>
          <w:lang w:val="en-US"/>
        </w:rPr>
      </w:pPr>
    </w:p>
    <w:p w14:paraId="435FDF01" w14:textId="77777777" w:rsidR="007067EF" w:rsidRPr="007067EF" w:rsidRDefault="007067EF" w:rsidP="007067EF">
      <w:pPr>
        <w:jc w:val="both"/>
        <w:rPr>
          <w:rFonts w:ascii="Times New Roman" w:hAnsi="Times New Roman" w:cs="Times New Roman"/>
          <w:b/>
          <w:sz w:val="24"/>
          <w:szCs w:val="24"/>
        </w:rPr>
      </w:pPr>
      <w:r w:rsidRPr="007067EF">
        <w:rPr>
          <w:rFonts w:ascii="Times New Roman" w:hAnsi="Times New Roman" w:cs="Times New Roman"/>
          <w:b/>
          <w:sz w:val="24"/>
          <w:szCs w:val="24"/>
        </w:rPr>
        <w:lastRenderedPageBreak/>
        <w:t>FOMENTO</w:t>
      </w:r>
    </w:p>
    <w:p w14:paraId="4FFB0D78" w14:textId="77777777" w:rsidR="007067EF" w:rsidRPr="007067EF" w:rsidRDefault="007067EF" w:rsidP="001643B9">
      <w:pPr>
        <w:autoSpaceDE w:val="0"/>
        <w:autoSpaceDN w:val="0"/>
        <w:adjustRightInd w:val="0"/>
        <w:jc w:val="both"/>
        <w:rPr>
          <w:rFonts w:ascii="Times New Roman" w:hAnsi="Times New Roman" w:cs="Times New Roman"/>
          <w:sz w:val="24"/>
          <w:szCs w:val="24"/>
        </w:rPr>
      </w:pPr>
      <w:r w:rsidRPr="007067EF">
        <w:rPr>
          <w:rFonts w:ascii="Times New Roman" w:hAnsi="Times New Roman" w:cs="Times New Roman"/>
          <w:sz w:val="24"/>
          <w:szCs w:val="24"/>
        </w:rPr>
        <w:t xml:space="preserve">O trabalho teve a concessão de Bolsa pelo Programa Institucional de Bolsas de Iniciação Tecnológica e Inovação (PIBITI), do Conselho Nacional de Desenvolvimento Científico e Tecnológico (CNPq). O trabalho também contou com recursos externos oriundos de projeto do programa CELESC-ANEEL de P&amp;D-0395-002/2006 - A utilização da </w:t>
      </w:r>
      <w:proofErr w:type="spellStart"/>
      <w:r w:rsidRPr="007067EF">
        <w:rPr>
          <w:rFonts w:ascii="Times New Roman" w:hAnsi="Times New Roman" w:cs="Times New Roman"/>
          <w:sz w:val="24"/>
          <w:szCs w:val="24"/>
        </w:rPr>
        <w:t>nitretação</w:t>
      </w:r>
      <w:proofErr w:type="spellEnd"/>
      <w:r w:rsidRPr="007067EF">
        <w:rPr>
          <w:rFonts w:ascii="Times New Roman" w:hAnsi="Times New Roman" w:cs="Times New Roman"/>
          <w:sz w:val="24"/>
          <w:szCs w:val="24"/>
        </w:rPr>
        <w:t xml:space="preserve"> a plasma como processo anticorrosivo em superfícies metálicas.</w:t>
      </w:r>
    </w:p>
    <w:sectPr w:rsidR="007067EF" w:rsidRPr="007067EF" w:rsidSect="007067EF">
      <w:headerReference w:type="default" r:id="rId1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2AAEC" w14:textId="77777777" w:rsidR="006C2D9C" w:rsidRDefault="006C2D9C" w:rsidP="007067EF">
      <w:pPr>
        <w:spacing w:after="0" w:line="240" w:lineRule="auto"/>
      </w:pPr>
      <w:r>
        <w:separator/>
      </w:r>
    </w:p>
  </w:endnote>
  <w:endnote w:type="continuationSeparator" w:id="0">
    <w:p w14:paraId="7E9944C2" w14:textId="77777777" w:rsidR="006C2D9C" w:rsidRDefault="006C2D9C" w:rsidP="00706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E16BC" w14:textId="77777777" w:rsidR="006C2D9C" w:rsidRDefault="006C2D9C" w:rsidP="007067EF">
      <w:pPr>
        <w:spacing w:after="0" w:line="240" w:lineRule="auto"/>
      </w:pPr>
      <w:r>
        <w:separator/>
      </w:r>
    </w:p>
  </w:footnote>
  <w:footnote w:type="continuationSeparator" w:id="0">
    <w:p w14:paraId="72A6442F" w14:textId="77777777" w:rsidR="006C2D9C" w:rsidRDefault="006C2D9C" w:rsidP="00706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CDA52" w14:textId="03006848" w:rsidR="007067EF" w:rsidRDefault="007067EF" w:rsidP="0000310E">
    <w:pPr>
      <w:pStyle w:val="Cabealho"/>
      <w:tabs>
        <w:tab w:val="clear" w:pos="4252"/>
        <w:tab w:val="clear" w:pos="8504"/>
        <w:tab w:val="left" w:pos="1200"/>
      </w:tabs>
      <w:jc w:val="right"/>
    </w:pPr>
    <w:r>
      <w:tab/>
    </w:r>
    <w:r w:rsidR="0000310E" w:rsidRPr="0000310E">
      <w:drawing>
        <wp:inline distT="0" distB="0" distL="0" distR="0" wp14:anchorId="41AD4DCD" wp14:editId="77255658">
          <wp:extent cx="2026436" cy="1164473"/>
          <wp:effectExtent l="0" t="0" r="0" b="4445"/>
          <wp:docPr id="4105" name="Imagem 3">
            <a:extLst xmlns:a="http://schemas.openxmlformats.org/drawingml/2006/main">
              <a:ext uri="{FF2B5EF4-FFF2-40B4-BE49-F238E27FC236}">
                <a16:creationId xmlns:a16="http://schemas.microsoft.com/office/drawing/2014/main" id="{EEAF3D1B-AD27-0844-AB54-38E5445DEE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Imagem 3">
                    <a:extLst>
                      <a:ext uri="{FF2B5EF4-FFF2-40B4-BE49-F238E27FC236}">
                        <a16:creationId xmlns:a16="http://schemas.microsoft.com/office/drawing/2014/main" id="{EEAF3D1B-AD27-0844-AB54-38E5445DEE43}"/>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949" cy="11992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147BD9"/>
    <w:multiLevelType w:val="multilevel"/>
    <w:tmpl w:val="107CD4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F564B8D"/>
    <w:multiLevelType w:val="multilevel"/>
    <w:tmpl w:val="E662F0CC"/>
    <w:lvl w:ilvl="0">
      <w:start w:val="1"/>
      <w:numFmt w:val="decimal"/>
      <w:lvlText w:val="%1."/>
      <w:lvlJc w:val="left"/>
      <w:pPr>
        <w:ind w:left="720" w:hanging="360"/>
      </w:pPr>
      <w:rPr>
        <w:rFonts w:hint="default"/>
        <w:b/>
      </w:rPr>
    </w:lvl>
    <w:lvl w:ilvl="1">
      <w:start w:val="3"/>
      <w:numFmt w:val="decimal"/>
      <w:isLgl/>
      <w:lvlText w:val="%1.%2"/>
      <w:lvlJc w:val="left"/>
      <w:pPr>
        <w:ind w:left="1060" w:hanging="36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88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7EF"/>
    <w:rsid w:val="0000310E"/>
    <w:rsid w:val="00134C60"/>
    <w:rsid w:val="001643B9"/>
    <w:rsid w:val="001B771B"/>
    <w:rsid w:val="00211450"/>
    <w:rsid w:val="002D4CCE"/>
    <w:rsid w:val="00322394"/>
    <w:rsid w:val="00362434"/>
    <w:rsid w:val="003C0F0F"/>
    <w:rsid w:val="00450E67"/>
    <w:rsid w:val="00474FB1"/>
    <w:rsid w:val="004D6443"/>
    <w:rsid w:val="004E65E4"/>
    <w:rsid w:val="004F30CD"/>
    <w:rsid w:val="00650D3C"/>
    <w:rsid w:val="00657BAC"/>
    <w:rsid w:val="006C2D9C"/>
    <w:rsid w:val="007067EF"/>
    <w:rsid w:val="007270AC"/>
    <w:rsid w:val="007724EF"/>
    <w:rsid w:val="007A235A"/>
    <w:rsid w:val="007E1212"/>
    <w:rsid w:val="009576F2"/>
    <w:rsid w:val="00992DAB"/>
    <w:rsid w:val="00994704"/>
    <w:rsid w:val="009B45C3"/>
    <w:rsid w:val="009C1421"/>
    <w:rsid w:val="00A141C1"/>
    <w:rsid w:val="00AB65DA"/>
    <w:rsid w:val="00AD1BC4"/>
    <w:rsid w:val="00B214C6"/>
    <w:rsid w:val="00B3452C"/>
    <w:rsid w:val="00B46873"/>
    <w:rsid w:val="00B567B1"/>
    <w:rsid w:val="00C0301D"/>
    <w:rsid w:val="00C10DBB"/>
    <w:rsid w:val="00C14AE6"/>
    <w:rsid w:val="00C1780E"/>
    <w:rsid w:val="00C427C2"/>
    <w:rsid w:val="00D53670"/>
    <w:rsid w:val="00D90FA4"/>
    <w:rsid w:val="00DB68EA"/>
    <w:rsid w:val="00DD5EA4"/>
    <w:rsid w:val="00E06F95"/>
    <w:rsid w:val="00E8255B"/>
    <w:rsid w:val="00F24FE2"/>
    <w:rsid w:val="00F44DB4"/>
    <w:rsid w:val="00F87F35"/>
    <w:rsid w:val="00FA42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E5C4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255B"/>
  </w:style>
  <w:style w:type="paragraph" w:styleId="Ttulo1">
    <w:name w:val="heading 1"/>
    <w:basedOn w:val="Normal"/>
    <w:next w:val="Normal"/>
    <w:link w:val="Ttulo1Char"/>
    <w:uiPriority w:val="9"/>
    <w:qFormat/>
    <w:rsid w:val="0021145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21145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AD1B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67E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67EF"/>
  </w:style>
  <w:style w:type="paragraph" w:styleId="Rodap">
    <w:name w:val="footer"/>
    <w:basedOn w:val="Normal"/>
    <w:link w:val="RodapChar"/>
    <w:uiPriority w:val="99"/>
    <w:unhideWhenUsed/>
    <w:rsid w:val="007067EF"/>
    <w:pPr>
      <w:tabs>
        <w:tab w:val="center" w:pos="4252"/>
        <w:tab w:val="right" w:pos="8504"/>
      </w:tabs>
      <w:spacing w:after="0" w:line="240" w:lineRule="auto"/>
    </w:pPr>
  </w:style>
  <w:style w:type="character" w:customStyle="1" w:styleId="RodapChar">
    <w:name w:val="Rodapé Char"/>
    <w:basedOn w:val="Fontepargpadro"/>
    <w:link w:val="Rodap"/>
    <w:uiPriority w:val="99"/>
    <w:rsid w:val="007067EF"/>
  </w:style>
  <w:style w:type="paragraph" w:styleId="Legenda">
    <w:name w:val="caption"/>
    <w:basedOn w:val="Normal"/>
    <w:next w:val="Normal"/>
    <w:qFormat/>
    <w:rsid w:val="007067EF"/>
    <w:pPr>
      <w:spacing w:after="0" w:line="240" w:lineRule="auto"/>
    </w:pPr>
    <w:rPr>
      <w:rFonts w:ascii="Times New Roman" w:eastAsia="Times New Roman" w:hAnsi="Times New Roman" w:cs="Times New Roman"/>
      <w:b/>
      <w:bCs/>
      <w:sz w:val="20"/>
      <w:szCs w:val="20"/>
      <w:lang w:eastAsia="pt-BR"/>
    </w:rPr>
  </w:style>
  <w:style w:type="paragraph" w:customStyle="1" w:styleId="Padro">
    <w:name w:val="Padrão"/>
    <w:rsid w:val="007067EF"/>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line="240" w:lineRule="auto"/>
    </w:pPr>
    <w:rPr>
      <w:rFonts w:ascii="Microsoft YaHei" w:eastAsia="Microsoft YaHei" w:hAnsi="Times New Roman" w:cs="Microsoft YaHei"/>
      <w:color w:val="333333"/>
      <w:sz w:val="48"/>
      <w:szCs w:val="48"/>
      <w:lang w:eastAsia="pt-BR"/>
    </w:rPr>
  </w:style>
  <w:style w:type="paragraph" w:styleId="Textodebalo">
    <w:name w:val="Balloon Text"/>
    <w:basedOn w:val="Normal"/>
    <w:link w:val="TextodebaloChar"/>
    <w:uiPriority w:val="99"/>
    <w:semiHidden/>
    <w:unhideWhenUsed/>
    <w:rsid w:val="007067E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067EF"/>
    <w:rPr>
      <w:rFonts w:ascii="Tahoma" w:hAnsi="Tahoma" w:cs="Tahoma"/>
      <w:sz w:val="16"/>
      <w:szCs w:val="16"/>
    </w:rPr>
  </w:style>
  <w:style w:type="character" w:customStyle="1" w:styleId="Ttulo3Char">
    <w:name w:val="Título 3 Char"/>
    <w:basedOn w:val="Fontepargpadro"/>
    <w:link w:val="Ttulo3"/>
    <w:uiPriority w:val="9"/>
    <w:semiHidden/>
    <w:rsid w:val="00AD1BC4"/>
    <w:rPr>
      <w:rFonts w:asciiTheme="majorHAnsi" w:eastAsiaTheme="majorEastAsia" w:hAnsiTheme="majorHAnsi" w:cstheme="majorBidi"/>
      <w:color w:val="243F60" w:themeColor="accent1" w:themeShade="7F"/>
      <w:sz w:val="24"/>
      <w:szCs w:val="24"/>
    </w:rPr>
  </w:style>
  <w:style w:type="paragraph" w:styleId="PargrafodaLista">
    <w:name w:val="List Paragraph"/>
    <w:basedOn w:val="Normal"/>
    <w:uiPriority w:val="34"/>
    <w:qFormat/>
    <w:rsid w:val="00D90FA4"/>
    <w:pPr>
      <w:ind w:left="720"/>
      <w:contextualSpacing/>
    </w:pPr>
  </w:style>
  <w:style w:type="character" w:styleId="Hyperlink">
    <w:name w:val="Hyperlink"/>
    <w:basedOn w:val="Fontepargpadro"/>
    <w:uiPriority w:val="99"/>
    <w:unhideWhenUsed/>
    <w:rsid w:val="00994704"/>
    <w:rPr>
      <w:color w:val="0000FF" w:themeColor="hyperlink"/>
      <w:u w:val="single"/>
    </w:rPr>
  </w:style>
  <w:style w:type="character" w:styleId="MenoPendente">
    <w:name w:val="Unresolved Mention"/>
    <w:basedOn w:val="Fontepargpadro"/>
    <w:uiPriority w:val="99"/>
    <w:rsid w:val="00994704"/>
    <w:rPr>
      <w:color w:val="605E5C"/>
      <w:shd w:val="clear" w:color="auto" w:fill="E1DFDD"/>
    </w:rPr>
  </w:style>
  <w:style w:type="paragraph" w:customStyle="1" w:styleId="plpar">
    <w:name w:val="p l_par"/>
    <w:basedOn w:val="Normal"/>
    <w:rsid w:val="007A235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211450"/>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211450"/>
    <w:rPr>
      <w:rFonts w:asciiTheme="majorHAnsi" w:eastAsiaTheme="majorEastAsia" w:hAnsiTheme="majorHAnsi" w:cstheme="majorBidi"/>
      <w:color w:val="365F91" w:themeColor="accent1" w:themeShade="BF"/>
      <w:sz w:val="26"/>
      <w:szCs w:val="26"/>
    </w:rPr>
  </w:style>
  <w:style w:type="character" w:customStyle="1" w:styleId="q4iawc">
    <w:name w:val="q4iawc"/>
    <w:basedOn w:val="Fontepargpadro"/>
    <w:rsid w:val="00F24FE2"/>
  </w:style>
  <w:style w:type="paragraph" w:styleId="NormalWeb">
    <w:name w:val="Normal (Web)"/>
    <w:basedOn w:val="Normal"/>
    <w:uiPriority w:val="99"/>
    <w:semiHidden/>
    <w:unhideWhenUsed/>
    <w:rsid w:val="00474FB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42569">
      <w:bodyDiv w:val="1"/>
      <w:marLeft w:val="0"/>
      <w:marRight w:val="0"/>
      <w:marTop w:val="0"/>
      <w:marBottom w:val="0"/>
      <w:divBdr>
        <w:top w:val="none" w:sz="0" w:space="0" w:color="auto"/>
        <w:left w:val="none" w:sz="0" w:space="0" w:color="auto"/>
        <w:bottom w:val="none" w:sz="0" w:space="0" w:color="auto"/>
        <w:right w:val="none" w:sz="0" w:space="0" w:color="auto"/>
      </w:divBdr>
    </w:div>
    <w:div w:id="342245522">
      <w:bodyDiv w:val="1"/>
      <w:marLeft w:val="0"/>
      <w:marRight w:val="0"/>
      <w:marTop w:val="0"/>
      <w:marBottom w:val="0"/>
      <w:divBdr>
        <w:top w:val="none" w:sz="0" w:space="0" w:color="auto"/>
        <w:left w:val="none" w:sz="0" w:space="0" w:color="auto"/>
        <w:bottom w:val="none" w:sz="0" w:space="0" w:color="auto"/>
        <w:right w:val="none" w:sz="0" w:space="0" w:color="auto"/>
      </w:divBdr>
      <w:divsChild>
        <w:div w:id="817109174">
          <w:marLeft w:val="360"/>
          <w:marRight w:val="0"/>
          <w:marTop w:val="0"/>
          <w:marBottom w:val="0"/>
          <w:divBdr>
            <w:top w:val="none" w:sz="0" w:space="0" w:color="auto"/>
            <w:left w:val="none" w:sz="0" w:space="0" w:color="auto"/>
            <w:bottom w:val="none" w:sz="0" w:space="0" w:color="auto"/>
            <w:right w:val="none" w:sz="0" w:space="0" w:color="auto"/>
          </w:divBdr>
        </w:div>
      </w:divsChild>
    </w:div>
    <w:div w:id="413478631">
      <w:bodyDiv w:val="1"/>
      <w:marLeft w:val="0"/>
      <w:marRight w:val="0"/>
      <w:marTop w:val="0"/>
      <w:marBottom w:val="0"/>
      <w:divBdr>
        <w:top w:val="none" w:sz="0" w:space="0" w:color="auto"/>
        <w:left w:val="none" w:sz="0" w:space="0" w:color="auto"/>
        <w:bottom w:val="none" w:sz="0" w:space="0" w:color="auto"/>
        <w:right w:val="none" w:sz="0" w:space="0" w:color="auto"/>
      </w:divBdr>
      <w:divsChild>
        <w:div w:id="847058663">
          <w:marLeft w:val="0"/>
          <w:marRight w:val="0"/>
          <w:marTop w:val="0"/>
          <w:marBottom w:val="0"/>
          <w:divBdr>
            <w:top w:val="none" w:sz="0" w:space="0" w:color="auto"/>
            <w:left w:val="none" w:sz="0" w:space="0" w:color="auto"/>
            <w:bottom w:val="none" w:sz="0" w:space="0" w:color="auto"/>
            <w:right w:val="none" w:sz="0" w:space="0" w:color="auto"/>
          </w:divBdr>
        </w:div>
      </w:divsChild>
    </w:div>
    <w:div w:id="428821395">
      <w:bodyDiv w:val="1"/>
      <w:marLeft w:val="0"/>
      <w:marRight w:val="0"/>
      <w:marTop w:val="0"/>
      <w:marBottom w:val="0"/>
      <w:divBdr>
        <w:top w:val="none" w:sz="0" w:space="0" w:color="auto"/>
        <w:left w:val="none" w:sz="0" w:space="0" w:color="auto"/>
        <w:bottom w:val="none" w:sz="0" w:space="0" w:color="auto"/>
        <w:right w:val="none" w:sz="0" w:space="0" w:color="auto"/>
      </w:divBdr>
      <w:divsChild>
        <w:div w:id="1124887210">
          <w:marLeft w:val="0"/>
          <w:marRight w:val="0"/>
          <w:marTop w:val="0"/>
          <w:marBottom w:val="45"/>
          <w:divBdr>
            <w:top w:val="none" w:sz="0" w:space="0" w:color="auto"/>
            <w:left w:val="none" w:sz="0" w:space="0" w:color="auto"/>
            <w:bottom w:val="none" w:sz="0" w:space="0" w:color="auto"/>
            <w:right w:val="none" w:sz="0" w:space="0" w:color="auto"/>
          </w:divBdr>
          <w:divsChild>
            <w:div w:id="7875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655675">
      <w:bodyDiv w:val="1"/>
      <w:marLeft w:val="0"/>
      <w:marRight w:val="0"/>
      <w:marTop w:val="0"/>
      <w:marBottom w:val="0"/>
      <w:divBdr>
        <w:top w:val="none" w:sz="0" w:space="0" w:color="auto"/>
        <w:left w:val="none" w:sz="0" w:space="0" w:color="auto"/>
        <w:bottom w:val="none" w:sz="0" w:space="0" w:color="auto"/>
        <w:right w:val="none" w:sz="0" w:space="0" w:color="auto"/>
      </w:divBdr>
    </w:div>
    <w:div w:id="744183086">
      <w:bodyDiv w:val="1"/>
      <w:marLeft w:val="0"/>
      <w:marRight w:val="0"/>
      <w:marTop w:val="0"/>
      <w:marBottom w:val="0"/>
      <w:divBdr>
        <w:top w:val="none" w:sz="0" w:space="0" w:color="auto"/>
        <w:left w:val="none" w:sz="0" w:space="0" w:color="auto"/>
        <w:bottom w:val="none" w:sz="0" w:space="0" w:color="auto"/>
        <w:right w:val="none" w:sz="0" w:space="0" w:color="auto"/>
      </w:divBdr>
    </w:div>
    <w:div w:id="839080042">
      <w:bodyDiv w:val="1"/>
      <w:marLeft w:val="0"/>
      <w:marRight w:val="0"/>
      <w:marTop w:val="0"/>
      <w:marBottom w:val="0"/>
      <w:divBdr>
        <w:top w:val="none" w:sz="0" w:space="0" w:color="auto"/>
        <w:left w:val="none" w:sz="0" w:space="0" w:color="auto"/>
        <w:bottom w:val="none" w:sz="0" w:space="0" w:color="auto"/>
        <w:right w:val="none" w:sz="0" w:space="0" w:color="auto"/>
      </w:divBdr>
      <w:divsChild>
        <w:div w:id="352266291">
          <w:marLeft w:val="0"/>
          <w:marRight w:val="0"/>
          <w:marTop w:val="0"/>
          <w:marBottom w:val="45"/>
          <w:divBdr>
            <w:top w:val="none" w:sz="0" w:space="0" w:color="auto"/>
            <w:left w:val="none" w:sz="0" w:space="0" w:color="auto"/>
            <w:bottom w:val="none" w:sz="0" w:space="0" w:color="auto"/>
            <w:right w:val="none" w:sz="0" w:space="0" w:color="auto"/>
          </w:divBdr>
          <w:divsChild>
            <w:div w:id="10531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4980">
      <w:bodyDiv w:val="1"/>
      <w:marLeft w:val="0"/>
      <w:marRight w:val="0"/>
      <w:marTop w:val="0"/>
      <w:marBottom w:val="0"/>
      <w:divBdr>
        <w:top w:val="none" w:sz="0" w:space="0" w:color="auto"/>
        <w:left w:val="none" w:sz="0" w:space="0" w:color="auto"/>
        <w:bottom w:val="none" w:sz="0" w:space="0" w:color="auto"/>
        <w:right w:val="none" w:sz="0" w:space="0" w:color="auto"/>
      </w:divBdr>
      <w:divsChild>
        <w:div w:id="249973423">
          <w:marLeft w:val="360"/>
          <w:marRight w:val="0"/>
          <w:marTop w:val="0"/>
          <w:marBottom w:val="0"/>
          <w:divBdr>
            <w:top w:val="none" w:sz="0" w:space="0" w:color="auto"/>
            <w:left w:val="none" w:sz="0" w:space="0" w:color="auto"/>
            <w:bottom w:val="none" w:sz="0" w:space="0" w:color="auto"/>
            <w:right w:val="none" w:sz="0" w:space="0" w:color="auto"/>
          </w:divBdr>
        </w:div>
      </w:divsChild>
    </w:div>
    <w:div w:id="1336882022">
      <w:bodyDiv w:val="1"/>
      <w:marLeft w:val="0"/>
      <w:marRight w:val="0"/>
      <w:marTop w:val="0"/>
      <w:marBottom w:val="0"/>
      <w:divBdr>
        <w:top w:val="none" w:sz="0" w:space="0" w:color="auto"/>
        <w:left w:val="none" w:sz="0" w:space="0" w:color="auto"/>
        <w:bottom w:val="none" w:sz="0" w:space="0" w:color="auto"/>
        <w:right w:val="none" w:sz="0" w:space="0" w:color="auto"/>
      </w:divBdr>
    </w:div>
    <w:div w:id="1339455658">
      <w:bodyDiv w:val="1"/>
      <w:marLeft w:val="0"/>
      <w:marRight w:val="0"/>
      <w:marTop w:val="0"/>
      <w:marBottom w:val="0"/>
      <w:divBdr>
        <w:top w:val="none" w:sz="0" w:space="0" w:color="auto"/>
        <w:left w:val="none" w:sz="0" w:space="0" w:color="auto"/>
        <w:bottom w:val="none" w:sz="0" w:space="0" w:color="auto"/>
        <w:right w:val="none" w:sz="0" w:space="0" w:color="auto"/>
      </w:divBdr>
    </w:div>
    <w:div w:id="1361662533">
      <w:bodyDiv w:val="1"/>
      <w:marLeft w:val="0"/>
      <w:marRight w:val="0"/>
      <w:marTop w:val="0"/>
      <w:marBottom w:val="0"/>
      <w:divBdr>
        <w:top w:val="none" w:sz="0" w:space="0" w:color="auto"/>
        <w:left w:val="none" w:sz="0" w:space="0" w:color="auto"/>
        <w:bottom w:val="none" w:sz="0" w:space="0" w:color="auto"/>
        <w:right w:val="none" w:sz="0" w:space="0" w:color="auto"/>
      </w:divBdr>
      <w:divsChild>
        <w:div w:id="2022778094">
          <w:marLeft w:val="0"/>
          <w:marRight w:val="0"/>
          <w:marTop w:val="0"/>
          <w:marBottom w:val="0"/>
          <w:divBdr>
            <w:top w:val="none" w:sz="0" w:space="0" w:color="auto"/>
            <w:left w:val="none" w:sz="0" w:space="0" w:color="auto"/>
            <w:bottom w:val="none" w:sz="0" w:space="0" w:color="auto"/>
            <w:right w:val="none" w:sz="0" w:space="0" w:color="auto"/>
          </w:divBdr>
        </w:div>
      </w:divsChild>
    </w:div>
    <w:div w:id="1928659149">
      <w:bodyDiv w:val="1"/>
      <w:marLeft w:val="0"/>
      <w:marRight w:val="0"/>
      <w:marTop w:val="0"/>
      <w:marBottom w:val="0"/>
      <w:divBdr>
        <w:top w:val="none" w:sz="0" w:space="0" w:color="auto"/>
        <w:left w:val="none" w:sz="0" w:space="0" w:color="auto"/>
        <w:bottom w:val="none" w:sz="0" w:space="0" w:color="auto"/>
        <w:right w:val="none" w:sz="0" w:space="0" w:color="auto"/>
      </w:divBdr>
    </w:div>
    <w:div w:id="199537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org/10.4315/0362-028X.JFP-17-48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1016/j.ifset.2019.1021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odri\OneDrive\&#193;rea%20de%20Trabalho\Rodrigo%20Wheeler\unisul\Mestrado\Disserta&#231;&#227;o\Ensaios\Resultados%20consolidad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odri\OneDrive\&#193;rea%20de%20Trabalho\Rodrigo%20Wheeler\unisul\Mestrado\Disserta&#231;&#227;o\Ensaios\Resultados%20consolidad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odri\OneDrive\&#193;rea%20de%20Trabalho\Rodrigo%20Wheeler\unisul\Mestrado\Disserta&#231;&#227;o\Ensaios\Resultados%20consolidado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tx1"/>
              </a:solid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E671-614A-B404-BF7760BBAAA3}"/>
              </c:ext>
            </c:extLst>
          </c:dPt>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3-E671-614A-B404-BF7760BBAAA3}"/>
              </c:ext>
            </c:extLst>
          </c:dPt>
          <c:dPt>
            <c:idx val="2"/>
            <c:invertIfNegative val="0"/>
            <c:bubble3D val="0"/>
            <c:spPr>
              <a:solidFill>
                <a:schemeClr val="bg1">
                  <a:lumMod val="50000"/>
                </a:schemeClr>
              </a:solidFill>
              <a:ln>
                <a:noFill/>
              </a:ln>
              <a:effectLst/>
            </c:spPr>
            <c:extLst>
              <c:ext xmlns:c16="http://schemas.microsoft.com/office/drawing/2014/chart" uri="{C3380CC4-5D6E-409C-BE32-E72D297353CC}">
                <c16:uniqueId val="{00000005-E671-614A-B404-BF7760BBAAA3}"/>
              </c:ext>
            </c:extLst>
          </c:dPt>
          <c:errBars>
            <c:errBarType val="both"/>
            <c:errValType val="cust"/>
            <c:noEndCap val="0"/>
            <c:plus>
              <c:numRef>
                <c:f>HPLC!$N$3:$N$5</c:f>
                <c:numCache>
                  <c:formatCode>General</c:formatCode>
                  <c:ptCount val="3"/>
                  <c:pt idx="0">
                    <c:v>1.8825036481801199E-2</c:v>
                  </c:pt>
                  <c:pt idx="1">
                    <c:v>3.6987656333281389E-2</c:v>
                  </c:pt>
                  <c:pt idx="2">
                    <c:v>4.8350860209562627E-2</c:v>
                  </c:pt>
                </c:numCache>
              </c:numRef>
            </c:plus>
            <c:minus>
              <c:numRef>
                <c:f>HPLC!$N$3:$N$5</c:f>
                <c:numCache>
                  <c:formatCode>General</c:formatCode>
                  <c:ptCount val="3"/>
                  <c:pt idx="0">
                    <c:v>1.8825036481801199E-2</c:v>
                  </c:pt>
                  <c:pt idx="1">
                    <c:v>3.6987656333281389E-2</c:v>
                  </c:pt>
                  <c:pt idx="2">
                    <c:v>4.8350860209562627E-2</c:v>
                  </c:pt>
                </c:numCache>
              </c:numRef>
            </c:minus>
            <c:spPr>
              <a:noFill/>
              <a:ln w="12700" cap="flat" cmpd="sng" algn="ctr">
                <a:solidFill>
                  <a:schemeClr val="tx1"/>
                </a:solidFill>
                <a:round/>
              </a:ln>
              <a:effectLst/>
            </c:spPr>
          </c:errBars>
          <c:cat>
            <c:strRef>
              <c:f>HPLC!$L$3:$L$5</c:f>
              <c:strCache>
                <c:ptCount val="3"/>
                <c:pt idx="0">
                  <c:v>5 min</c:v>
                </c:pt>
                <c:pt idx="1">
                  <c:v>15 min</c:v>
                </c:pt>
                <c:pt idx="2">
                  <c:v>45 min</c:v>
                </c:pt>
              </c:strCache>
            </c:strRef>
          </c:cat>
          <c:val>
            <c:numRef>
              <c:f>HPLC!$M$3:$M$5</c:f>
              <c:numCache>
                <c:formatCode>0.00%</c:formatCode>
                <c:ptCount val="3"/>
                <c:pt idx="0">
                  <c:v>0.17634883456139497</c:v>
                </c:pt>
                <c:pt idx="1">
                  <c:v>0.23488406610387283</c:v>
                </c:pt>
                <c:pt idx="2">
                  <c:v>0.28191943590494312</c:v>
                </c:pt>
              </c:numCache>
            </c:numRef>
          </c:val>
          <c:extLst>
            <c:ext xmlns:c16="http://schemas.microsoft.com/office/drawing/2014/chart" uri="{C3380CC4-5D6E-409C-BE32-E72D297353CC}">
              <c16:uniqueId val="{00000006-E671-614A-B404-BF7760BBAAA3}"/>
            </c:ext>
          </c:extLst>
        </c:ser>
        <c:dLbls>
          <c:showLegendKey val="0"/>
          <c:showVal val="0"/>
          <c:showCatName val="0"/>
          <c:showSerName val="0"/>
          <c:showPercent val="0"/>
          <c:showBubbleSize val="0"/>
        </c:dLbls>
        <c:gapWidth val="100"/>
        <c:overlap val="-27"/>
        <c:axId val="2008392416"/>
        <c:axId val="2008393248"/>
      </c:barChart>
      <c:catAx>
        <c:axId val="20083924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008393248"/>
        <c:crosses val="autoZero"/>
        <c:auto val="1"/>
        <c:lblAlgn val="ctr"/>
        <c:lblOffset val="100"/>
        <c:noMultiLvlLbl val="0"/>
      </c:catAx>
      <c:valAx>
        <c:axId val="2008393248"/>
        <c:scaling>
          <c:orientation val="minMax"/>
        </c:scaling>
        <c:delete val="0"/>
        <c:axPos val="l"/>
        <c:majorGridlines>
          <c:spPr>
            <a:ln w="9525" cap="flat" cmpd="sng" algn="ctr">
              <a:solidFill>
                <a:schemeClr val="tx1"/>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008392416"/>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noFill/>
            </a:ln>
            <a:effectLst/>
          </c:spPr>
          <c:invertIfNegative val="0"/>
          <c:errBars>
            <c:errBarType val="both"/>
            <c:errValType val="cust"/>
            <c:noEndCap val="0"/>
            <c:plus>
              <c:numRef>
                <c:f>Condutividade!$J$12:$J$14</c:f>
                <c:numCache>
                  <c:formatCode>General</c:formatCode>
                  <c:ptCount val="3"/>
                  <c:pt idx="0">
                    <c:v>0.46159750448590797</c:v>
                  </c:pt>
                  <c:pt idx="1">
                    <c:v>0.47529522499904081</c:v>
                  </c:pt>
                  <c:pt idx="2">
                    <c:v>0.68057733259832376</c:v>
                  </c:pt>
                </c:numCache>
              </c:numRef>
            </c:plus>
            <c:minus>
              <c:numRef>
                <c:f>Condutividade!$J$12:$J$14</c:f>
                <c:numCache>
                  <c:formatCode>General</c:formatCode>
                  <c:ptCount val="3"/>
                  <c:pt idx="0">
                    <c:v>0.46159750448590797</c:v>
                  </c:pt>
                  <c:pt idx="1">
                    <c:v>0.47529522499904081</c:v>
                  </c:pt>
                  <c:pt idx="2">
                    <c:v>0.68057733259832376</c:v>
                  </c:pt>
                </c:numCache>
              </c:numRef>
            </c:minus>
            <c:spPr>
              <a:noFill/>
              <a:ln w="9525" cap="flat" cmpd="sng" algn="ctr">
                <a:solidFill>
                  <a:schemeClr val="tx1"/>
                </a:solidFill>
                <a:round/>
              </a:ln>
              <a:effectLst/>
            </c:spPr>
          </c:errBars>
          <c:cat>
            <c:strRef>
              <c:f>Condutividade!$H$12:$H$14</c:f>
              <c:strCache>
                <c:ptCount val="3"/>
                <c:pt idx="0">
                  <c:v>5 min</c:v>
                </c:pt>
                <c:pt idx="1">
                  <c:v>15 min</c:v>
                </c:pt>
                <c:pt idx="2">
                  <c:v>45 min </c:v>
                </c:pt>
              </c:strCache>
            </c:strRef>
          </c:cat>
          <c:val>
            <c:numRef>
              <c:f>Condutividade!$I$12:$I$14</c:f>
              <c:numCache>
                <c:formatCode>0.00%</c:formatCode>
                <c:ptCount val="3"/>
                <c:pt idx="0">
                  <c:v>1.4774964838255977</c:v>
                </c:pt>
                <c:pt idx="1">
                  <c:v>4.6821378340365678</c:v>
                </c:pt>
                <c:pt idx="2">
                  <c:v>16.046413502109704</c:v>
                </c:pt>
              </c:numCache>
            </c:numRef>
          </c:val>
          <c:extLst>
            <c:ext xmlns:c16="http://schemas.microsoft.com/office/drawing/2014/chart" uri="{C3380CC4-5D6E-409C-BE32-E72D297353CC}">
              <c16:uniqueId val="{00000000-309A-9241-B63A-E0B7B825CDE6}"/>
            </c:ext>
          </c:extLst>
        </c:ser>
        <c:dLbls>
          <c:showLegendKey val="0"/>
          <c:showVal val="0"/>
          <c:showCatName val="0"/>
          <c:showSerName val="0"/>
          <c:showPercent val="0"/>
          <c:showBubbleSize val="0"/>
        </c:dLbls>
        <c:gapWidth val="100"/>
        <c:overlap val="4"/>
        <c:axId val="997390096"/>
        <c:axId val="997384272"/>
      </c:barChart>
      <c:catAx>
        <c:axId val="9973900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997384272"/>
        <c:crosses val="autoZero"/>
        <c:auto val="1"/>
        <c:lblAlgn val="ctr"/>
        <c:lblOffset val="100"/>
        <c:noMultiLvlLbl val="0"/>
      </c:catAx>
      <c:valAx>
        <c:axId val="997384272"/>
        <c:scaling>
          <c:orientation val="minMax"/>
          <c:max val="18"/>
          <c:min val="0"/>
        </c:scaling>
        <c:delete val="0"/>
        <c:axPos val="l"/>
        <c:majorGridlines>
          <c:spPr>
            <a:ln w="9525" cap="flat" cmpd="sng" algn="ctr">
              <a:solidFill>
                <a:schemeClr val="tx1"/>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997390096"/>
        <c:crosses val="autoZero"/>
        <c:crossBetween val="between"/>
        <c:majorUnit val="3"/>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0337-7F4A-BDC0-1A8BBF0FDBD6}"/>
              </c:ext>
            </c:extLst>
          </c:dPt>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3-0337-7F4A-BDC0-1A8BBF0FDBD6}"/>
              </c:ext>
            </c:extLst>
          </c:dPt>
          <c:dPt>
            <c:idx val="2"/>
            <c:invertIfNegative val="0"/>
            <c:bubble3D val="0"/>
            <c:spPr>
              <a:solidFill>
                <a:schemeClr val="bg1">
                  <a:lumMod val="50000"/>
                </a:schemeClr>
              </a:solidFill>
              <a:ln>
                <a:noFill/>
              </a:ln>
              <a:effectLst/>
            </c:spPr>
            <c:extLst>
              <c:ext xmlns:c16="http://schemas.microsoft.com/office/drawing/2014/chart" uri="{C3380CC4-5D6E-409C-BE32-E72D297353CC}">
                <c16:uniqueId val="{00000005-0337-7F4A-BDC0-1A8BBF0FDBD6}"/>
              </c:ext>
            </c:extLst>
          </c:dPt>
          <c:errBars>
            <c:errBarType val="both"/>
            <c:errValType val="cust"/>
            <c:noEndCap val="0"/>
            <c:plus>
              <c:numRef>
                <c:f>pH!$J$2:$J$4</c:f>
                <c:numCache>
                  <c:formatCode>General</c:formatCode>
                  <c:ptCount val="3"/>
                  <c:pt idx="0">
                    <c:v>2.2026362572268646E-2</c:v>
                  </c:pt>
                  <c:pt idx="1">
                    <c:v>2.2171321808803289E-2</c:v>
                  </c:pt>
                  <c:pt idx="2">
                    <c:v>3.5417625084942235E-2</c:v>
                  </c:pt>
                </c:numCache>
              </c:numRef>
            </c:plus>
            <c:minus>
              <c:numRef>
                <c:f>pH!$J$2:$J$4</c:f>
                <c:numCache>
                  <c:formatCode>General</c:formatCode>
                  <c:ptCount val="3"/>
                  <c:pt idx="0">
                    <c:v>2.2026362572268646E-2</c:v>
                  </c:pt>
                  <c:pt idx="1">
                    <c:v>2.2171321808803289E-2</c:v>
                  </c:pt>
                  <c:pt idx="2">
                    <c:v>3.5417625084942235E-2</c:v>
                  </c:pt>
                </c:numCache>
              </c:numRef>
            </c:minus>
            <c:spPr>
              <a:noFill/>
              <a:ln w="9525" cap="flat" cmpd="sng" algn="ctr">
                <a:solidFill>
                  <a:schemeClr val="tx1">
                    <a:lumMod val="65000"/>
                    <a:lumOff val="35000"/>
                  </a:schemeClr>
                </a:solidFill>
                <a:round/>
              </a:ln>
              <a:effectLst/>
            </c:spPr>
          </c:errBars>
          <c:cat>
            <c:strRef>
              <c:f>pH!$H$2:$H$4</c:f>
              <c:strCache>
                <c:ptCount val="3"/>
                <c:pt idx="0">
                  <c:v>5 min</c:v>
                </c:pt>
                <c:pt idx="1">
                  <c:v>15 min</c:v>
                </c:pt>
                <c:pt idx="2">
                  <c:v>45 min</c:v>
                </c:pt>
              </c:strCache>
            </c:strRef>
          </c:cat>
          <c:val>
            <c:numRef>
              <c:f>pH!$I$2:$I$4</c:f>
              <c:numCache>
                <c:formatCode>0.00%</c:formatCode>
                <c:ptCount val="3"/>
                <c:pt idx="0">
                  <c:v>-0.17157275021026075</c:v>
                </c:pt>
                <c:pt idx="1">
                  <c:v>-0.28174936921783023</c:v>
                </c:pt>
                <c:pt idx="2">
                  <c:v>-0.42893187552565182</c:v>
                </c:pt>
              </c:numCache>
            </c:numRef>
          </c:val>
          <c:extLst>
            <c:ext xmlns:c16="http://schemas.microsoft.com/office/drawing/2014/chart" uri="{C3380CC4-5D6E-409C-BE32-E72D297353CC}">
              <c16:uniqueId val="{00000006-0337-7F4A-BDC0-1A8BBF0FDBD6}"/>
            </c:ext>
          </c:extLst>
        </c:ser>
        <c:dLbls>
          <c:showLegendKey val="0"/>
          <c:showVal val="0"/>
          <c:showCatName val="0"/>
          <c:showSerName val="0"/>
          <c:showPercent val="0"/>
          <c:showBubbleSize val="0"/>
        </c:dLbls>
        <c:gapWidth val="100"/>
        <c:overlap val="-27"/>
        <c:axId val="1853419903"/>
        <c:axId val="2125284495"/>
      </c:barChart>
      <c:catAx>
        <c:axId val="1853419903"/>
        <c:scaling>
          <c:orientation val="minMax"/>
        </c:scaling>
        <c:delete val="0"/>
        <c:axPos val="b"/>
        <c:numFmt formatCode="General" sourceLinked="1"/>
        <c:majorTickMark val="none"/>
        <c:minorTickMark val="none"/>
        <c:tickLblPos val="high"/>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125284495"/>
        <c:crosses val="autoZero"/>
        <c:auto val="1"/>
        <c:lblAlgn val="ctr"/>
        <c:lblOffset val="100"/>
        <c:noMultiLvlLbl val="0"/>
      </c:catAx>
      <c:valAx>
        <c:axId val="2125284495"/>
        <c:scaling>
          <c:orientation val="minMax"/>
        </c:scaling>
        <c:delete val="0"/>
        <c:axPos val="l"/>
        <c:majorGridlines>
          <c:spPr>
            <a:ln w="9525" cap="flat" cmpd="sng" algn="ctr">
              <a:solidFill>
                <a:schemeClr val="tx1"/>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1853419903"/>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4A3DA1-C491-5641-8B62-312612C03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12759</Words>
  <Characters>68902</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Ortiz</dc:creator>
  <cp:lastModifiedBy>Microsoft Office User</cp:lastModifiedBy>
  <cp:revision>2</cp:revision>
  <dcterms:created xsi:type="dcterms:W3CDTF">2023-10-26T13:41:00Z</dcterms:created>
  <dcterms:modified xsi:type="dcterms:W3CDTF">2023-10-26T13:41:00Z</dcterms:modified>
</cp:coreProperties>
</file>