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871C" w14:textId="4D02602B" w:rsidR="007104CC" w:rsidRPr="009E38EE" w:rsidRDefault="006975B0" w:rsidP="007104CC">
      <w:pPr>
        <w:spacing w:line="360" w:lineRule="auto"/>
        <w:jc w:val="center"/>
        <w:rPr>
          <w:rFonts w:ascii="Times New Roman" w:hAnsi="Times New Roman" w:cs="Times New Roman"/>
          <w:b/>
        </w:rPr>
      </w:pPr>
      <w:r>
        <w:rPr>
          <w:rFonts w:ascii="Times New Roman" w:hAnsi="Times New Roman" w:cs="Times New Roman"/>
          <w:b/>
          <w:bCs/>
        </w:rPr>
        <w:t>I</w:t>
      </w:r>
      <w:r w:rsidR="00F73C61" w:rsidRPr="00F73C61">
        <w:rPr>
          <w:rFonts w:ascii="Times New Roman" w:hAnsi="Times New Roman" w:cs="Times New Roman"/>
          <w:b/>
          <w:bCs/>
        </w:rPr>
        <w:t>NFLUÊNCIA DA MÍDIA INFANTIL NA CONSTRUÇÃO DE GÊNERO E FORMAÇÃO DO JOVEM.</w:t>
      </w:r>
    </w:p>
    <w:p w14:paraId="13D0E736" w14:textId="59BDFE7A" w:rsidR="007104CC" w:rsidRPr="009E38EE" w:rsidRDefault="00F73C61" w:rsidP="007104CC">
      <w:pPr>
        <w:spacing w:after="120"/>
        <w:jc w:val="center"/>
        <w:rPr>
          <w:rFonts w:ascii="Times New Roman" w:hAnsi="Times New Roman" w:cs="Times New Roman"/>
        </w:rPr>
      </w:pPr>
      <w:r w:rsidRPr="00F73C61">
        <w:rPr>
          <w:rFonts w:ascii="Times New Roman" w:hAnsi="Times New Roman" w:cs="Times New Roman"/>
        </w:rPr>
        <w:t>Raissa Fernandes Fortunato</w:t>
      </w:r>
      <w:r>
        <w:rPr>
          <w:rFonts w:ascii="Times New Roman" w:hAnsi="Times New Roman" w:cs="Times New Roman"/>
        </w:rPr>
        <w:t>¹</w:t>
      </w:r>
      <w:r w:rsidRPr="00F73C61">
        <w:rPr>
          <w:rFonts w:ascii="Times New Roman" w:hAnsi="Times New Roman" w:cs="Times New Roman"/>
        </w:rPr>
        <w:t xml:space="preserve"> e Me. Arthur </w:t>
      </w:r>
      <w:proofErr w:type="spellStart"/>
      <w:r w:rsidRPr="00F73C61">
        <w:rPr>
          <w:rFonts w:ascii="Times New Roman" w:hAnsi="Times New Roman" w:cs="Times New Roman"/>
        </w:rPr>
        <w:t>Kelles</w:t>
      </w:r>
      <w:proofErr w:type="spellEnd"/>
      <w:r w:rsidRPr="00F73C61">
        <w:rPr>
          <w:rFonts w:ascii="Times New Roman" w:hAnsi="Times New Roman" w:cs="Times New Roman"/>
        </w:rPr>
        <w:t xml:space="preserve"> Andrade</w:t>
      </w:r>
      <w:r>
        <w:rPr>
          <w:rFonts w:ascii="Times New Roman" w:hAnsi="Times New Roman" w:cs="Times New Roman"/>
        </w:rPr>
        <w:t>²</w:t>
      </w:r>
      <w:r w:rsidRPr="00F73C61">
        <w:rPr>
          <w:rFonts w:ascii="Times New Roman" w:hAnsi="Times New Roman" w:cs="Times New Roman"/>
        </w:rPr>
        <w:t xml:space="preserve"> (orientador)</w:t>
      </w:r>
    </w:p>
    <w:p w14:paraId="5042B245" w14:textId="77777777" w:rsidR="007104CC" w:rsidRPr="009E38EE" w:rsidRDefault="007104CC" w:rsidP="00F73C61">
      <w:pPr>
        <w:spacing w:line="360" w:lineRule="auto"/>
        <w:jc w:val="both"/>
        <w:rPr>
          <w:rFonts w:ascii="Times New Roman" w:hAnsi="Times New Roman" w:cs="Times New Roman"/>
        </w:rPr>
      </w:pPr>
      <w:r w:rsidRPr="009E38EE">
        <w:rPr>
          <w:rFonts w:ascii="Times New Roman" w:hAnsi="Times New Roman" w:cs="Times New Roman"/>
          <w:b/>
        </w:rPr>
        <w:t>RESUMO:</w:t>
      </w:r>
      <w:r w:rsidRPr="009E38EE">
        <w:rPr>
          <w:rFonts w:ascii="Times New Roman" w:hAnsi="Times New Roman" w:cs="Times New Roman"/>
        </w:rPr>
        <w:t xml:space="preserve"> </w:t>
      </w:r>
    </w:p>
    <w:p w14:paraId="7686254A" w14:textId="01780CFD" w:rsidR="007104CC" w:rsidRPr="00F73C61" w:rsidRDefault="00F73C61" w:rsidP="00F73C61">
      <w:pPr>
        <w:spacing w:after="240" w:line="360" w:lineRule="auto"/>
        <w:jc w:val="both"/>
        <w:rPr>
          <w:rFonts w:ascii="Times New Roman" w:hAnsi="Times New Roman" w:cs="Times New Roman"/>
        </w:rPr>
      </w:pPr>
      <w:r w:rsidRPr="00F73C61">
        <w:rPr>
          <w:rFonts w:ascii="Times New Roman" w:hAnsi="Times New Roman" w:cs="Times New Roman"/>
        </w:rPr>
        <w:t>O presente trabalho buscou compreender qual influência a publicidade infantil produz na construção de gênero das crianças. Foi realizada uma revisão bibliográfica com 10 artigos, seguida de uma análise de conteúdo, com obras que retratam os papéis de gênero na infância, baseado nas mídias de comunicação. Concluiu-se que a mídia intensifica a construção de gênero repassada pelas camadas sociais por meio dos ideais subliminares reproduzidos em propagandas para jovens. É notório que ser menina aborda a ideia de beleza, cuidado e maternidade, enquanto ser menino é contemplado por aventuras, inflexibilidade e agressividade.</w:t>
      </w:r>
    </w:p>
    <w:p w14:paraId="13518FBB" w14:textId="77777777" w:rsidR="007104CC" w:rsidRPr="009E38EE" w:rsidRDefault="007104CC" w:rsidP="00F73C61">
      <w:pPr>
        <w:spacing w:line="360" w:lineRule="auto"/>
        <w:jc w:val="both"/>
        <w:rPr>
          <w:rFonts w:ascii="Times New Roman" w:hAnsi="Times New Roman" w:cs="Times New Roman"/>
        </w:rPr>
      </w:pPr>
      <w:r w:rsidRPr="009E38EE">
        <w:rPr>
          <w:rFonts w:ascii="Times New Roman" w:hAnsi="Times New Roman" w:cs="Times New Roman"/>
          <w:b/>
        </w:rPr>
        <w:t>INTRODUÇÃO:</w:t>
      </w:r>
      <w:r w:rsidRPr="009E38EE">
        <w:rPr>
          <w:rFonts w:ascii="Times New Roman" w:hAnsi="Times New Roman" w:cs="Times New Roman"/>
        </w:rPr>
        <w:t xml:space="preserve"> </w:t>
      </w:r>
    </w:p>
    <w:p w14:paraId="6CF338F0" w14:textId="02E394AD" w:rsidR="00F73C61" w:rsidRDefault="00F73C61" w:rsidP="00F85F6D">
      <w:pPr>
        <w:spacing w:line="360" w:lineRule="auto"/>
        <w:jc w:val="both"/>
        <w:rPr>
          <w:rFonts w:ascii="Times New Roman" w:hAnsi="Times New Roman" w:cs="Times New Roman"/>
        </w:rPr>
      </w:pPr>
      <w:r w:rsidRPr="00F73C61">
        <w:rPr>
          <w:rFonts w:ascii="Times New Roman" w:hAnsi="Times New Roman" w:cs="Times New Roman"/>
        </w:rPr>
        <w:t xml:space="preserve">Conceitos que sofrem alterações conforme a realidade histórica e são ditados, mesmo que involuntariamente, pela sociedade, são </w:t>
      </w:r>
      <w:r w:rsidRPr="00F73C61">
        <w:rPr>
          <w:rFonts w:ascii="Times New Roman" w:hAnsi="Times New Roman" w:cs="Times New Roman"/>
        </w:rPr>
        <w:t>denominadas</w:t>
      </w:r>
      <w:r w:rsidRPr="00F73C61">
        <w:rPr>
          <w:rFonts w:ascii="Times New Roman" w:hAnsi="Times New Roman" w:cs="Times New Roman"/>
        </w:rPr>
        <w:t xml:space="preserve"> construções sociais. A teoria de gênero é uma criação que busca contrapor as definições dos papéis sociais e identificação do sujeito com base exclusivamente no fator biológico e o denomina justamente como uma construção social, segundo </w:t>
      </w:r>
      <w:r w:rsidR="00F85F6D">
        <w:rPr>
          <w:rFonts w:ascii="Times New Roman" w:hAnsi="Times New Roman" w:cs="Times New Roman"/>
        </w:rPr>
        <w:t>Alcântara e Guedes</w:t>
      </w:r>
      <w:r w:rsidRPr="00F73C61">
        <w:rPr>
          <w:rFonts w:ascii="Times New Roman" w:hAnsi="Times New Roman" w:cs="Times New Roman"/>
        </w:rPr>
        <w:t xml:space="preserve"> (20</w:t>
      </w:r>
      <w:r w:rsidR="00F85F6D">
        <w:rPr>
          <w:rFonts w:ascii="Times New Roman" w:hAnsi="Times New Roman" w:cs="Times New Roman"/>
        </w:rPr>
        <w:t>17</w:t>
      </w:r>
      <w:r w:rsidRPr="00F73C61">
        <w:rPr>
          <w:rFonts w:ascii="Times New Roman" w:hAnsi="Times New Roman" w:cs="Times New Roman"/>
        </w:rPr>
        <w:t xml:space="preserve">). Para </w:t>
      </w:r>
      <w:proofErr w:type="spellStart"/>
      <w:r w:rsidRPr="00F73C61">
        <w:rPr>
          <w:rFonts w:ascii="Times New Roman" w:hAnsi="Times New Roman" w:cs="Times New Roman"/>
        </w:rPr>
        <w:t>Lauretis</w:t>
      </w:r>
      <w:proofErr w:type="spellEnd"/>
      <w:r w:rsidRPr="00F73C61">
        <w:rPr>
          <w:rFonts w:ascii="Times New Roman" w:hAnsi="Times New Roman" w:cs="Times New Roman"/>
        </w:rPr>
        <w:t xml:space="preserve"> (1994), o gênero como uma construção social é moldado por meio de representações distintas impostas ao longo da vivência do indivíduo, recriado por todos os ambientes sociais em que ele se engaja, a cada período histórico. </w:t>
      </w:r>
    </w:p>
    <w:p w14:paraId="1B34A506" w14:textId="3D071D28" w:rsidR="00F73C61" w:rsidRPr="00F73C61" w:rsidRDefault="00F73C61" w:rsidP="00F85F6D">
      <w:pPr>
        <w:spacing w:after="240" w:line="360" w:lineRule="auto"/>
        <w:jc w:val="both"/>
        <w:rPr>
          <w:rFonts w:ascii="Times New Roman" w:hAnsi="Times New Roman" w:cs="Times New Roman"/>
        </w:rPr>
      </w:pPr>
      <w:r w:rsidRPr="00F73C61">
        <w:rPr>
          <w:rFonts w:ascii="Times New Roman" w:hAnsi="Times New Roman" w:cs="Times New Roman"/>
        </w:rPr>
        <w:t>Esta pesquisa busca compreender e analisar a construção social de gênero presente na publicidade e conteúdo audiovisual para o público infantil. Esse processo de análise é relevante já que é capaz de explicitar as influências publicitárias nas crianças, justificando alguns padrões de construção de gênero e sua origem nos anos iniciais. A relevância dessa produção contempla a ampliação do estudo sobre gênero e mídia, como também visão crítica com materiais de estudos reais e próximos ao cotidiano.</w:t>
      </w:r>
    </w:p>
    <w:p w14:paraId="141A9933" w14:textId="77777777" w:rsidR="007104CC" w:rsidRPr="009E38EE" w:rsidRDefault="007104CC" w:rsidP="007104CC">
      <w:pPr>
        <w:jc w:val="both"/>
        <w:rPr>
          <w:rFonts w:ascii="Times New Roman" w:hAnsi="Times New Roman" w:cs="Times New Roman"/>
        </w:rPr>
      </w:pPr>
      <w:r w:rsidRPr="009E38EE">
        <w:rPr>
          <w:rFonts w:ascii="Times New Roman" w:hAnsi="Times New Roman" w:cs="Times New Roman"/>
          <w:b/>
        </w:rPr>
        <w:t>PALAVRAS-CHAVE:</w:t>
      </w:r>
      <w:r w:rsidRPr="009E38EE">
        <w:rPr>
          <w:rFonts w:ascii="Times New Roman" w:hAnsi="Times New Roman" w:cs="Times New Roman"/>
        </w:rPr>
        <w:t xml:space="preserve"> </w:t>
      </w:r>
    </w:p>
    <w:p w14:paraId="0CF5A765" w14:textId="21C61AF9" w:rsidR="007104CC" w:rsidRPr="00416996" w:rsidRDefault="00416996" w:rsidP="00416996">
      <w:pPr>
        <w:spacing w:after="240" w:line="360" w:lineRule="auto"/>
        <w:jc w:val="both"/>
        <w:rPr>
          <w:rFonts w:ascii="Times New Roman" w:hAnsi="Times New Roman" w:cs="Times New Roman"/>
        </w:rPr>
      </w:pPr>
      <w:r w:rsidRPr="00416996">
        <w:rPr>
          <w:rFonts w:ascii="Times New Roman" w:hAnsi="Times New Roman" w:cs="Times New Roman"/>
        </w:rPr>
        <w:t>Construção de gênero, Publicidade Infantil, Psicologia Social.</w:t>
      </w:r>
    </w:p>
    <w:p w14:paraId="47239074" w14:textId="77777777" w:rsidR="007104CC" w:rsidRDefault="007104CC" w:rsidP="007104CC">
      <w:pPr>
        <w:jc w:val="both"/>
        <w:rPr>
          <w:rFonts w:ascii="Times New Roman" w:hAnsi="Times New Roman" w:cs="Times New Roman"/>
        </w:rPr>
      </w:pPr>
      <w:r w:rsidRPr="009E38EE">
        <w:rPr>
          <w:rFonts w:ascii="Times New Roman" w:hAnsi="Times New Roman" w:cs="Times New Roman"/>
          <w:b/>
        </w:rPr>
        <w:t>MÉTODO:</w:t>
      </w:r>
      <w:r w:rsidRPr="009E38EE">
        <w:rPr>
          <w:rFonts w:ascii="Times New Roman" w:hAnsi="Times New Roman" w:cs="Times New Roman"/>
        </w:rPr>
        <w:t xml:space="preserve"> </w:t>
      </w:r>
    </w:p>
    <w:p w14:paraId="58857814" w14:textId="77777777" w:rsidR="00416996" w:rsidRDefault="00416996" w:rsidP="00416996">
      <w:pPr>
        <w:spacing w:line="360" w:lineRule="auto"/>
        <w:jc w:val="both"/>
        <w:rPr>
          <w:rFonts w:ascii="Times New Roman" w:hAnsi="Times New Roman" w:cs="Times New Roman"/>
        </w:rPr>
      </w:pPr>
      <w:r w:rsidRPr="00416996">
        <w:rPr>
          <w:rFonts w:ascii="Times New Roman" w:hAnsi="Times New Roman" w:cs="Times New Roman"/>
        </w:rPr>
        <w:lastRenderedPageBreak/>
        <w:t xml:space="preserve">O presente trabalho apresenta uma metodologia qualitativa em modelo de pesquisa bibliográfica aplicado à análise de conteúdo. A busca bibliográfica foi feita nos indexadores Google acadêmico, </w:t>
      </w:r>
      <w:proofErr w:type="spellStart"/>
      <w:r w:rsidRPr="00416996">
        <w:rPr>
          <w:rFonts w:ascii="Times New Roman" w:hAnsi="Times New Roman" w:cs="Times New Roman"/>
        </w:rPr>
        <w:t>Scielo</w:t>
      </w:r>
      <w:proofErr w:type="spellEnd"/>
      <w:r w:rsidRPr="00416996">
        <w:rPr>
          <w:rFonts w:ascii="Times New Roman" w:hAnsi="Times New Roman" w:cs="Times New Roman"/>
        </w:rPr>
        <w:t xml:space="preserve">, </w:t>
      </w:r>
      <w:proofErr w:type="spellStart"/>
      <w:r w:rsidRPr="00416996">
        <w:rPr>
          <w:rFonts w:ascii="Times New Roman" w:hAnsi="Times New Roman" w:cs="Times New Roman"/>
        </w:rPr>
        <w:t>Pepsic</w:t>
      </w:r>
      <w:proofErr w:type="spellEnd"/>
      <w:r w:rsidRPr="00416996">
        <w:rPr>
          <w:rFonts w:ascii="Times New Roman" w:hAnsi="Times New Roman" w:cs="Times New Roman"/>
        </w:rPr>
        <w:t xml:space="preserve"> e Periódicos Capes em </w:t>
      </w:r>
      <w:proofErr w:type="gramStart"/>
      <w:r w:rsidRPr="00416996">
        <w:rPr>
          <w:rFonts w:ascii="Times New Roman" w:hAnsi="Times New Roman" w:cs="Times New Roman"/>
        </w:rPr>
        <w:t>Janeiro</w:t>
      </w:r>
      <w:proofErr w:type="gramEnd"/>
      <w:r w:rsidRPr="00416996">
        <w:rPr>
          <w:rFonts w:ascii="Times New Roman" w:hAnsi="Times New Roman" w:cs="Times New Roman"/>
        </w:rPr>
        <w:t xml:space="preserve"> de 2023, utilizando-se os descritores "Influência de comerciais infantis", "Construção de gênero em publicidade", "Publicidade infantil", "Construção de gênero em publicidade", e afins. Foram selecionados artigos entre os anos de 2012 a 2022, tendo no máximo 10 anos de publicação, na tentativa de contemplar o apogeu e popularização dos comerciais virtuais e televisivos. Adotou-se os seguintes critérios de inclusão: artigos escritos em língua portuguesa, com disponibilidade de texto completo em suporte eletrônico, que tenham como sujeitos de pesquisa crianças consumidoras de conteúdo publicitário e que investigavam a mídia publicitária audiovisual, como comerciais televisivos e publicidade digital em websites públicos. Foram adotados como critérios de exclusão: anais de congressos ou conferências, relatórios técnicos e científicos e documentos ministeriais, produções publicadas fora desse período e que tinham como objeto de estudo outros tipos de mídia, como a mídia impressa. Foram selecionados 10 artigos e a partir deles foi confeccionada uma tabela em que estão dispostos o título dos artigos, os autores, ano de publicação e material de análise.</w:t>
      </w:r>
      <w:r>
        <w:rPr>
          <w:rFonts w:ascii="Times New Roman" w:hAnsi="Times New Roman" w:cs="Times New Roman"/>
        </w:rPr>
        <w:t xml:space="preserve"> </w:t>
      </w:r>
    </w:p>
    <w:p w14:paraId="24CCA083" w14:textId="77777777" w:rsidR="00416996" w:rsidRPr="00416996" w:rsidRDefault="00416996" w:rsidP="00416996">
      <w:pPr>
        <w:ind w:firstLine="720"/>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shd w:val="clear" w:color="auto" w:fill="FFFFFF"/>
          <w:lang w:eastAsia="pt-BR"/>
        </w:rPr>
        <w:t>Tabela 1</w:t>
      </w:r>
      <w:r w:rsidRPr="00416996">
        <w:rPr>
          <w:rFonts w:ascii="Times New Roman" w:eastAsia="Times New Roman" w:hAnsi="Times New Roman" w:cs="Times New Roman"/>
          <w:color w:val="000000"/>
          <w:sz w:val="20"/>
          <w:szCs w:val="20"/>
          <w:shd w:val="clear" w:color="auto" w:fill="FFFFFF"/>
          <w:lang w:eastAsia="pt-BR"/>
        </w:rPr>
        <w:t xml:space="preserve"> - Artigos selecionados </w:t>
      </w:r>
    </w:p>
    <w:tbl>
      <w:tblPr>
        <w:tblW w:w="0" w:type="auto"/>
        <w:tblCellMar>
          <w:top w:w="15" w:type="dxa"/>
          <w:left w:w="15" w:type="dxa"/>
          <w:bottom w:w="15" w:type="dxa"/>
          <w:right w:w="15" w:type="dxa"/>
        </w:tblCellMar>
        <w:tblLook w:val="04A0" w:firstRow="1" w:lastRow="0" w:firstColumn="1" w:lastColumn="0" w:noHBand="0" w:noVBand="1"/>
      </w:tblPr>
      <w:tblGrid>
        <w:gridCol w:w="2629"/>
        <w:gridCol w:w="1375"/>
        <w:gridCol w:w="480"/>
        <w:gridCol w:w="1852"/>
        <w:gridCol w:w="1869"/>
      </w:tblGrid>
      <w:tr w:rsidR="00416996" w:rsidRPr="00416996" w14:paraId="21431D32" w14:textId="77777777" w:rsidTr="00416996">
        <w:trPr>
          <w:trHeight w:val="417"/>
        </w:trPr>
        <w:tc>
          <w:tcPr>
            <w:tcW w:w="0" w:type="auto"/>
            <w:tcBorders>
              <w:top w:val="single" w:sz="6" w:space="0" w:color="000000"/>
              <w:left w:val="single" w:sz="6" w:space="0" w:color="000000"/>
              <w:bottom w:val="single" w:sz="6" w:space="0" w:color="000000"/>
              <w:right w:val="single" w:sz="6" w:space="0" w:color="000000"/>
            </w:tcBorders>
            <w:shd w:val="clear" w:color="auto" w:fill="6D9EEB"/>
            <w:tcMar>
              <w:top w:w="40" w:type="dxa"/>
              <w:left w:w="40" w:type="dxa"/>
              <w:bottom w:w="40" w:type="dxa"/>
              <w:right w:w="40" w:type="dxa"/>
            </w:tcMar>
            <w:vAlign w:val="center"/>
            <w:hideMark/>
          </w:tcPr>
          <w:p w14:paraId="59367A4F"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Título</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40" w:type="dxa"/>
              <w:left w:w="40" w:type="dxa"/>
              <w:bottom w:w="40" w:type="dxa"/>
              <w:right w:w="40" w:type="dxa"/>
            </w:tcMar>
            <w:vAlign w:val="center"/>
            <w:hideMark/>
          </w:tcPr>
          <w:p w14:paraId="19FF15CC"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Autores</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40" w:type="dxa"/>
              <w:left w:w="40" w:type="dxa"/>
              <w:bottom w:w="40" w:type="dxa"/>
              <w:right w:w="40" w:type="dxa"/>
            </w:tcMar>
            <w:vAlign w:val="center"/>
            <w:hideMark/>
          </w:tcPr>
          <w:p w14:paraId="69F3F891"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Ano</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40" w:type="dxa"/>
              <w:left w:w="40" w:type="dxa"/>
              <w:bottom w:w="40" w:type="dxa"/>
              <w:right w:w="40" w:type="dxa"/>
            </w:tcMar>
            <w:vAlign w:val="center"/>
            <w:hideMark/>
          </w:tcPr>
          <w:p w14:paraId="4F93BB20"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Material de análise</w:t>
            </w:r>
          </w:p>
        </w:tc>
        <w:tc>
          <w:tcPr>
            <w:tcW w:w="0" w:type="auto"/>
            <w:tcBorders>
              <w:top w:val="single" w:sz="6" w:space="0" w:color="000000"/>
              <w:left w:val="single" w:sz="6" w:space="0" w:color="000000"/>
              <w:bottom w:val="single" w:sz="6" w:space="0" w:color="000000"/>
              <w:right w:val="single" w:sz="6" w:space="0" w:color="000000"/>
            </w:tcBorders>
            <w:shd w:val="clear" w:color="auto" w:fill="6D9EEB"/>
            <w:tcMar>
              <w:top w:w="40" w:type="dxa"/>
              <w:left w:w="40" w:type="dxa"/>
              <w:bottom w:w="40" w:type="dxa"/>
              <w:right w:w="40" w:type="dxa"/>
            </w:tcMar>
            <w:vAlign w:val="center"/>
            <w:hideMark/>
          </w:tcPr>
          <w:p w14:paraId="717E9C67"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Definição de Gênero</w:t>
            </w:r>
          </w:p>
        </w:tc>
      </w:tr>
      <w:tr w:rsidR="00416996" w:rsidRPr="00416996" w14:paraId="1820AE18" w14:textId="77777777" w:rsidTr="00416996">
        <w:trPr>
          <w:trHeight w:val="61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6C3D1B8"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 xml:space="preserve">A construção social de gênero para crianças através do </w:t>
            </w:r>
            <w:proofErr w:type="spellStart"/>
            <w:r w:rsidRPr="00416996">
              <w:rPr>
                <w:rFonts w:ascii="Times New Roman" w:eastAsia="Times New Roman" w:hAnsi="Times New Roman" w:cs="Times New Roman"/>
                <w:b/>
                <w:bCs/>
                <w:color w:val="000000"/>
                <w:sz w:val="20"/>
                <w:szCs w:val="20"/>
                <w:lang w:eastAsia="pt-BR"/>
              </w:rPr>
              <w:t>youtube</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1514F6B"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Maria Clara Monteiro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76091F6"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2020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ECC7F40"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Consumo do Youtube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63AC83E"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Normas pela vivência que ditam o gênero</w:t>
            </w:r>
          </w:p>
        </w:tc>
      </w:tr>
      <w:tr w:rsidR="00416996" w:rsidRPr="00416996" w14:paraId="1274CA9B" w14:textId="77777777" w:rsidTr="00416996">
        <w:trPr>
          <w:trHeight w:val="8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8C391B5"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Aprendendo a ser menina: publicidade infantil, gênero e identidade em youtuber mirim</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1B98F11"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Marcela Cristina G. da Silva e</w:t>
            </w:r>
          </w:p>
          <w:p w14:paraId="06B24F81"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Luciana da Silva Santos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1A0B08E"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2019</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CA1DCE7"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Vídeos unboxing youtuber</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8A44EEE"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Construção pela vida</w:t>
            </w:r>
          </w:p>
        </w:tc>
      </w:tr>
      <w:tr w:rsidR="00416996" w:rsidRPr="00416996" w14:paraId="03F3019E" w14:textId="77777777" w:rsidTr="00416996">
        <w:trPr>
          <w:trHeight w:val="8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58D58B4"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É menino ou menina?’ – a construção da identidade de gênero através dos brinquedos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A90B44D"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 xml:space="preserve">Vanessa </w:t>
            </w:r>
            <w:proofErr w:type="spellStart"/>
            <w:r w:rsidRPr="00416996">
              <w:rPr>
                <w:rFonts w:ascii="Times New Roman" w:eastAsia="Times New Roman" w:hAnsi="Times New Roman" w:cs="Times New Roman"/>
                <w:color w:val="000000"/>
                <w:sz w:val="20"/>
                <w:szCs w:val="20"/>
                <w:lang w:eastAsia="pt-BR"/>
              </w:rPr>
              <w:t>Ruffatto</w:t>
            </w:r>
            <w:proofErr w:type="spellEnd"/>
            <w:r w:rsidRPr="00416996">
              <w:rPr>
                <w:rFonts w:ascii="Times New Roman" w:eastAsia="Times New Roman" w:hAnsi="Times New Roman" w:cs="Times New Roman"/>
                <w:color w:val="000000"/>
                <w:sz w:val="20"/>
                <w:szCs w:val="20"/>
                <w:lang w:eastAsia="pt-BR"/>
              </w:rPr>
              <w:t xml:space="preserve"> </w:t>
            </w:r>
            <w:proofErr w:type="spellStart"/>
            <w:r w:rsidRPr="00416996">
              <w:rPr>
                <w:rFonts w:ascii="Times New Roman" w:eastAsia="Times New Roman" w:hAnsi="Times New Roman" w:cs="Times New Roman"/>
                <w:color w:val="000000"/>
                <w:sz w:val="20"/>
                <w:szCs w:val="20"/>
                <w:lang w:eastAsia="pt-BR"/>
              </w:rPr>
              <w:t>Gregoviski</w:t>
            </w:r>
            <w:proofErr w:type="spellEnd"/>
            <w:r w:rsidRPr="00416996">
              <w:rPr>
                <w:rFonts w:ascii="Times New Roman" w:eastAsia="Times New Roman" w:hAnsi="Times New Roman" w:cs="Times New Roman"/>
                <w:color w:val="000000"/>
                <w:sz w:val="20"/>
                <w:szCs w:val="20"/>
                <w:lang w:eastAsia="pt-BR"/>
              </w:rPr>
              <w:t>,</w:t>
            </w:r>
          </w:p>
          <w:p w14:paraId="5C61CFAE"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Fernando Lucas Lima da Silva e</w:t>
            </w:r>
          </w:p>
          <w:p w14:paraId="2F691AA8"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 xml:space="preserve">Lucas André Borges </w:t>
            </w:r>
            <w:proofErr w:type="spellStart"/>
            <w:r w:rsidRPr="00416996">
              <w:rPr>
                <w:rFonts w:ascii="Times New Roman" w:eastAsia="Times New Roman" w:hAnsi="Times New Roman" w:cs="Times New Roman"/>
                <w:color w:val="000000"/>
                <w:sz w:val="20"/>
                <w:szCs w:val="20"/>
                <w:lang w:eastAsia="pt-BR"/>
              </w:rPr>
              <w:t>Hlavac</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E306DB4"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2016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2ED87F4"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Websites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D857554"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Papéis de gênero são moldados pela sociedade e publicidade, alheio a sexualidade e questões biológicas</w:t>
            </w:r>
          </w:p>
        </w:tc>
      </w:tr>
      <w:tr w:rsidR="00416996" w:rsidRPr="00416996" w14:paraId="2F846BA7" w14:textId="77777777" w:rsidTr="00416996">
        <w:trPr>
          <w:trHeight w:val="8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C91C5AB"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Gênero e subjetividade em disputa: sujeitos infantis, mídias digitais e contemporaneidade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F58FE99"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 xml:space="preserve">Daiane de Oliveira </w:t>
            </w:r>
            <w:proofErr w:type="spellStart"/>
            <w:r w:rsidRPr="00416996">
              <w:rPr>
                <w:rFonts w:ascii="Times New Roman" w:eastAsia="Times New Roman" w:hAnsi="Times New Roman" w:cs="Times New Roman"/>
                <w:color w:val="000000"/>
                <w:sz w:val="20"/>
                <w:szCs w:val="20"/>
                <w:lang w:eastAsia="pt-BR"/>
              </w:rPr>
              <w:t>Aliandra</w:t>
            </w:r>
            <w:proofErr w:type="spellEnd"/>
            <w:r w:rsidRPr="00416996">
              <w:rPr>
                <w:rFonts w:ascii="Times New Roman" w:eastAsia="Times New Roman" w:hAnsi="Times New Roman" w:cs="Times New Roman"/>
                <w:color w:val="000000"/>
                <w:sz w:val="20"/>
                <w:szCs w:val="20"/>
                <w:lang w:eastAsia="pt-BR"/>
              </w:rPr>
              <w:t xml:space="preserve"> e Cristina </w:t>
            </w:r>
            <w:proofErr w:type="spellStart"/>
            <w:r w:rsidRPr="00416996">
              <w:rPr>
                <w:rFonts w:ascii="Times New Roman" w:eastAsia="Times New Roman" w:hAnsi="Times New Roman" w:cs="Times New Roman"/>
                <w:color w:val="000000"/>
                <w:sz w:val="20"/>
                <w:szCs w:val="20"/>
                <w:lang w:eastAsia="pt-BR"/>
              </w:rPr>
              <w:t>Mesomo</w:t>
            </w:r>
            <w:proofErr w:type="spellEnd"/>
            <w:r w:rsidRPr="00416996">
              <w:rPr>
                <w:rFonts w:ascii="Times New Roman" w:eastAsia="Times New Roman" w:hAnsi="Times New Roman" w:cs="Times New Roman"/>
                <w:color w:val="000000"/>
                <w:sz w:val="20"/>
                <w:szCs w:val="20"/>
                <w:lang w:eastAsia="pt-BR"/>
              </w:rPr>
              <w:t xml:space="preserve"> Lira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42C0661"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2022</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7FD8611"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Mídia digital infantil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40CF0F2"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O gênero é construído pela vivência da época. Diferente de sexo biológico.</w:t>
            </w:r>
          </w:p>
        </w:tc>
      </w:tr>
      <w:tr w:rsidR="00416996" w:rsidRPr="00416996" w14:paraId="6E7DDD59" w14:textId="77777777" w:rsidTr="00416996">
        <w:trPr>
          <w:trHeight w:val="8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622A356"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lastRenderedPageBreak/>
              <w:t xml:space="preserve">Meninas no YouTube: </w:t>
            </w:r>
            <w:proofErr w:type="spellStart"/>
            <w:r w:rsidRPr="00416996">
              <w:rPr>
                <w:rFonts w:ascii="Times New Roman" w:eastAsia="Times New Roman" w:hAnsi="Times New Roman" w:cs="Times New Roman"/>
                <w:b/>
                <w:bCs/>
                <w:color w:val="000000"/>
                <w:sz w:val="20"/>
                <w:szCs w:val="20"/>
                <w:lang w:eastAsia="pt-BR"/>
              </w:rPr>
              <w:t>participação</w:t>
            </w:r>
            <w:proofErr w:type="spellEnd"/>
            <w:r w:rsidRPr="00416996">
              <w:rPr>
                <w:rFonts w:ascii="Times New Roman" w:eastAsia="Times New Roman" w:hAnsi="Times New Roman" w:cs="Times New Roman"/>
                <w:b/>
                <w:bCs/>
                <w:color w:val="000000"/>
                <w:sz w:val="20"/>
                <w:szCs w:val="20"/>
                <w:lang w:eastAsia="pt-BR"/>
              </w:rPr>
              <w:t xml:space="preserve">, </w:t>
            </w:r>
            <w:proofErr w:type="spellStart"/>
            <w:r w:rsidRPr="00416996">
              <w:rPr>
                <w:rFonts w:ascii="Times New Roman" w:eastAsia="Times New Roman" w:hAnsi="Times New Roman" w:cs="Times New Roman"/>
                <w:b/>
                <w:bCs/>
                <w:color w:val="000000"/>
                <w:sz w:val="20"/>
                <w:szCs w:val="20"/>
                <w:lang w:eastAsia="pt-BR"/>
              </w:rPr>
              <w:t>celebrização</w:t>
            </w:r>
            <w:proofErr w:type="spellEnd"/>
            <w:r w:rsidRPr="00416996">
              <w:rPr>
                <w:rFonts w:ascii="Times New Roman" w:eastAsia="Times New Roman" w:hAnsi="Times New Roman" w:cs="Times New Roman"/>
                <w:b/>
                <w:bCs/>
                <w:color w:val="000000"/>
                <w:sz w:val="20"/>
                <w:szCs w:val="20"/>
                <w:lang w:eastAsia="pt-BR"/>
              </w:rPr>
              <w:t xml:space="preserve"> e cultura do consumo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9E0E086" w14:textId="77777777" w:rsidR="00416996" w:rsidRPr="00416996" w:rsidRDefault="00416996" w:rsidP="00416996">
            <w:pPr>
              <w:jc w:val="center"/>
              <w:rPr>
                <w:rFonts w:ascii="Times New Roman" w:eastAsia="Times New Roman" w:hAnsi="Times New Roman" w:cs="Times New Roman"/>
                <w:lang w:eastAsia="pt-BR"/>
              </w:rPr>
            </w:pPr>
            <w:proofErr w:type="spellStart"/>
            <w:r w:rsidRPr="00416996">
              <w:rPr>
                <w:rFonts w:ascii="Times New Roman" w:eastAsia="Times New Roman" w:hAnsi="Times New Roman" w:cs="Times New Roman"/>
                <w:color w:val="000000"/>
                <w:sz w:val="20"/>
                <w:szCs w:val="20"/>
                <w:lang w:eastAsia="pt-BR"/>
              </w:rPr>
              <w:t>Lidia</w:t>
            </w:r>
            <w:proofErr w:type="spellEnd"/>
            <w:r w:rsidRPr="00416996">
              <w:rPr>
                <w:rFonts w:ascii="Times New Roman" w:eastAsia="Times New Roman" w:hAnsi="Times New Roman" w:cs="Times New Roman"/>
                <w:color w:val="000000"/>
                <w:sz w:val="20"/>
                <w:szCs w:val="20"/>
                <w:lang w:eastAsia="pt-BR"/>
              </w:rPr>
              <w:t xml:space="preserve"> </w:t>
            </w:r>
            <w:proofErr w:type="spellStart"/>
            <w:r w:rsidRPr="00416996">
              <w:rPr>
                <w:rFonts w:ascii="Times New Roman" w:eastAsia="Times New Roman" w:hAnsi="Times New Roman" w:cs="Times New Roman"/>
                <w:color w:val="000000"/>
                <w:sz w:val="20"/>
                <w:szCs w:val="20"/>
                <w:lang w:eastAsia="pt-BR"/>
              </w:rPr>
              <w:t>Marôpo</w:t>
            </w:r>
            <w:proofErr w:type="spellEnd"/>
            <w:r w:rsidRPr="00416996">
              <w:rPr>
                <w:rFonts w:ascii="Times New Roman" w:eastAsia="Times New Roman" w:hAnsi="Times New Roman" w:cs="Times New Roman"/>
                <w:color w:val="000000"/>
                <w:sz w:val="20"/>
                <w:szCs w:val="20"/>
                <w:lang w:eastAsia="pt-BR"/>
              </w:rPr>
              <w:t>,</w:t>
            </w:r>
          </w:p>
          <w:p w14:paraId="43125D0E"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Inês Vitorino Sampaio e</w:t>
            </w:r>
          </w:p>
          <w:p w14:paraId="3288BCFA" w14:textId="77777777" w:rsidR="00416996" w:rsidRPr="00416996" w:rsidRDefault="00416996" w:rsidP="00416996">
            <w:pPr>
              <w:jc w:val="center"/>
              <w:rPr>
                <w:rFonts w:ascii="Times New Roman" w:eastAsia="Times New Roman" w:hAnsi="Times New Roman" w:cs="Times New Roman"/>
                <w:lang w:eastAsia="pt-BR"/>
              </w:rPr>
            </w:pPr>
            <w:proofErr w:type="spellStart"/>
            <w:r w:rsidRPr="00416996">
              <w:rPr>
                <w:rFonts w:ascii="Times New Roman" w:eastAsia="Times New Roman" w:hAnsi="Times New Roman" w:cs="Times New Roman"/>
                <w:color w:val="000000"/>
                <w:sz w:val="20"/>
                <w:szCs w:val="20"/>
                <w:lang w:eastAsia="pt-BR"/>
              </w:rPr>
              <w:t>Nut</w:t>
            </w:r>
            <w:proofErr w:type="spellEnd"/>
            <w:r w:rsidRPr="00416996">
              <w:rPr>
                <w:rFonts w:ascii="Times New Roman" w:eastAsia="Times New Roman" w:hAnsi="Times New Roman" w:cs="Times New Roman"/>
                <w:color w:val="000000"/>
                <w:sz w:val="20"/>
                <w:szCs w:val="20"/>
                <w:lang w:eastAsia="pt-BR"/>
              </w:rPr>
              <w:t xml:space="preserve"> Pereira de Miranda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2C682F6"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2018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49ADD6D"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Canais de youtubers mirins </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42D7211"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Gênero é a identificação da pessoa, para além do binarismo.</w:t>
            </w:r>
          </w:p>
        </w:tc>
      </w:tr>
      <w:tr w:rsidR="00416996" w:rsidRPr="00416996" w14:paraId="7C3DAD28" w14:textId="77777777" w:rsidTr="00416996">
        <w:trPr>
          <w:trHeight w:val="8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DA1A41A"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Magia é de menina, aventura é de menino: os binarismos de gênero na infância pela perspectiva da indústria cultural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D21748D"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 xml:space="preserve">Wellington Teixeira L. </w:t>
            </w:r>
            <w:proofErr w:type="spellStart"/>
            <w:r w:rsidRPr="00416996">
              <w:rPr>
                <w:rFonts w:ascii="Times New Roman" w:eastAsia="Times New Roman" w:hAnsi="Times New Roman" w:cs="Times New Roman"/>
                <w:color w:val="000000"/>
                <w:sz w:val="20"/>
                <w:szCs w:val="20"/>
                <w:lang w:eastAsia="pt-BR"/>
              </w:rPr>
              <w:t>Tássio</w:t>
            </w:r>
            <w:proofErr w:type="spellEnd"/>
            <w:r w:rsidRPr="00416996">
              <w:rPr>
                <w:rFonts w:ascii="Times New Roman" w:eastAsia="Times New Roman" w:hAnsi="Times New Roman" w:cs="Times New Roman"/>
                <w:color w:val="000000"/>
                <w:sz w:val="20"/>
                <w:szCs w:val="20"/>
                <w:lang w:eastAsia="pt-BR"/>
              </w:rPr>
              <w:t>,</w:t>
            </w:r>
          </w:p>
          <w:p w14:paraId="37812FD9"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José da Silva e</w:t>
            </w:r>
          </w:p>
          <w:p w14:paraId="72155D96"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Aline da Silva Borges Rezende</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8B447D1"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2015</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733EE5F"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Propagandas televisivas das bonecas Frozen e do boneco Max Steel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E4C9D5D"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 xml:space="preserve">A questão biológica interfere no </w:t>
            </w:r>
            <w:proofErr w:type="gramStart"/>
            <w:r w:rsidRPr="00416996">
              <w:rPr>
                <w:rFonts w:ascii="Times New Roman" w:eastAsia="Times New Roman" w:hAnsi="Times New Roman" w:cs="Times New Roman"/>
                <w:color w:val="000000"/>
                <w:sz w:val="20"/>
                <w:szCs w:val="20"/>
                <w:lang w:eastAsia="pt-BR"/>
              </w:rPr>
              <w:t>gênero</w:t>
            </w:r>
            <w:proofErr w:type="gramEnd"/>
            <w:r w:rsidRPr="00416996">
              <w:rPr>
                <w:rFonts w:ascii="Times New Roman" w:eastAsia="Times New Roman" w:hAnsi="Times New Roman" w:cs="Times New Roman"/>
                <w:color w:val="000000"/>
                <w:sz w:val="20"/>
                <w:szCs w:val="20"/>
                <w:lang w:eastAsia="pt-BR"/>
              </w:rPr>
              <w:t xml:space="preserve"> mas o que determina são os contextos vividos</w:t>
            </w:r>
          </w:p>
        </w:tc>
      </w:tr>
      <w:tr w:rsidR="00416996" w:rsidRPr="00416996" w14:paraId="05309CCC" w14:textId="77777777" w:rsidTr="00416996">
        <w:trPr>
          <w:trHeight w:val="115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528D675"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Masculinidades e as feminilidades nas propagandas exibidas em canais televisivos direcionados ao público infantil</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AB83B51"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 xml:space="preserve">Matheus D’Amico </w:t>
            </w:r>
            <w:proofErr w:type="spellStart"/>
            <w:r w:rsidRPr="00416996">
              <w:rPr>
                <w:rFonts w:ascii="Times New Roman" w:eastAsia="Times New Roman" w:hAnsi="Times New Roman" w:cs="Times New Roman"/>
                <w:color w:val="000000"/>
                <w:sz w:val="20"/>
                <w:szCs w:val="20"/>
                <w:lang w:eastAsia="pt-BR"/>
              </w:rPr>
              <w:t>Sotolani</w:t>
            </w:r>
            <w:proofErr w:type="spellEnd"/>
            <w:r w:rsidRPr="00416996">
              <w:rPr>
                <w:rFonts w:ascii="Times New Roman" w:eastAsia="Times New Roman" w:hAnsi="Times New Roman" w:cs="Times New Roman"/>
                <w:color w:val="000000"/>
                <w:sz w:val="20"/>
                <w:szCs w:val="20"/>
                <w:lang w:eastAsia="pt-BR"/>
              </w:rPr>
              <w:t xml:space="preserve"> e</w:t>
            </w:r>
          </w:p>
          <w:p w14:paraId="38C87316"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Constantina Xavier Filha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CF3D29A"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2021</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0E36651"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Propagandas voltadas ao público infantil, em canais televisivos, exibidas no primeiro semestre de 2018</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ED8FB62"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Construído pela vivência e a mídia</w:t>
            </w:r>
          </w:p>
        </w:tc>
      </w:tr>
      <w:tr w:rsidR="00416996" w:rsidRPr="00416996" w14:paraId="6FC1ED0C" w14:textId="77777777" w:rsidTr="00416996">
        <w:trPr>
          <w:trHeight w:val="88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4FBE872"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O discurso publicitário dirigido a crianças em comerciais de brinquedo: a cristalização do binarismo de gênero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F1128F1"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Manoela Pagotto Nodari e</w:t>
            </w:r>
          </w:p>
          <w:p w14:paraId="105C82FD"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Priscilla de Oliveira Martins-Silva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819EACB"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2020</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5514125"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Audiovisual Brasileiro da TV fechada</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93CE249"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 xml:space="preserve">Gênero não é sexo </w:t>
            </w:r>
            <w:proofErr w:type="gramStart"/>
            <w:r w:rsidRPr="00416996">
              <w:rPr>
                <w:rFonts w:ascii="Times New Roman" w:eastAsia="Times New Roman" w:hAnsi="Times New Roman" w:cs="Times New Roman"/>
                <w:color w:val="000000"/>
                <w:sz w:val="20"/>
                <w:szCs w:val="20"/>
                <w:lang w:eastAsia="pt-BR"/>
              </w:rPr>
              <w:t>biológico</w:t>
            </w:r>
            <w:proofErr w:type="gramEnd"/>
            <w:r w:rsidRPr="00416996">
              <w:rPr>
                <w:rFonts w:ascii="Times New Roman" w:eastAsia="Times New Roman" w:hAnsi="Times New Roman" w:cs="Times New Roman"/>
                <w:color w:val="000000"/>
                <w:sz w:val="20"/>
                <w:szCs w:val="20"/>
                <w:lang w:eastAsia="pt-BR"/>
              </w:rPr>
              <w:t xml:space="preserve"> mas a sociedade espera que seja.</w:t>
            </w:r>
          </w:p>
        </w:tc>
      </w:tr>
      <w:tr w:rsidR="00416996" w:rsidRPr="00416996" w14:paraId="690E2616" w14:textId="77777777" w:rsidTr="00416996">
        <w:trPr>
          <w:trHeight w:val="115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DAFE017"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Um mundo de princesas e super-heróis: representações de gênero em encarte publicitário</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F34C093"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Patrícia Oliveira de Freitas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5CCA8BD"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2016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7720C44"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Encarte publicitário divulgado no dia das crianças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D4D49A0"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Sexo biológico influencia os papéis de gênero, são construídos e são uma identidade</w:t>
            </w:r>
          </w:p>
        </w:tc>
      </w:tr>
      <w:tr w:rsidR="00416996" w:rsidRPr="00416996" w14:paraId="597E0BE1" w14:textId="77777777" w:rsidTr="00416996">
        <w:trPr>
          <w:trHeight w:val="1545"/>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ED80537"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b/>
                <w:bCs/>
                <w:color w:val="000000"/>
                <w:sz w:val="20"/>
                <w:szCs w:val="20"/>
                <w:lang w:eastAsia="pt-BR"/>
              </w:rPr>
              <w:t>Um ovo azul e outro rosa: pedagogia Kinder e a construção visual dos gêneros e das infâncias</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04CE60D"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 xml:space="preserve">João Paulo </w:t>
            </w:r>
            <w:proofErr w:type="spellStart"/>
            <w:r w:rsidRPr="00416996">
              <w:rPr>
                <w:rFonts w:ascii="Times New Roman" w:eastAsia="Times New Roman" w:hAnsi="Times New Roman" w:cs="Times New Roman"/>
                <w:color w:val="000000"/>
                <w:sz w:val="20"/>
                <w:szCs w:val="20"/>
                <w:lang w:eastAsia="pt-BR"/>
              </w:rPr>
              <w:t>Baliscei</w:t>
            </w:r>
            <w:proofErr w:type="spellEnd"/>
            <w:r w:rsidRPr="00416996">
              <w:rPr>
                <w:rFonts w:ascii="Times New Roman" w:eastAsia="Times New Roman" w:hAnsi="Times New Roman" w:cs="Times New Roman"/>
                <w:color w:val="000000"/>
                <w:sz w:val="20"/>
                <w:szCs w:val="20"/>
                <w:lang w:eastAsia="pt-BR"/>
              </w:rPr>
              <w:t>,</w:t>
            </w:r>
          </w:p>
          <w:p w14:paraId="412236BF"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 xml:space="preserve">Eliane Rose Maio e </w:t>
            </w:r>
            <w:proofErr w:type="spellStart"/>
            <w:r w:rsidRPr="00416996">
              <w:rPr>
                <w:rFonts w:ascii="Times New Roman" w:eastAsia="Times New Roman" w:hAnsi="Times New Roman" w:cs="Times New Roman"/>
                <w:color w:val="000000"/>
                <w:sz w:val="20"/>
                <w:szCs w:val="20"/>
                <w:lang w:eastAsia="pt-BR"/>
              </w:rPr>
              <w:t>Geiva</w:t>
            </w:r>
            <w:proofErr w:type="spellEnd"/>
            <w:r w:rsidRPr="00416996">
              <w:rPr>
                <w:rFonts w:ascii="Times New Roman" w:eastAsia="Times New Roman" w:hAnsi="Times New Roman" w:cs="Times New Roman"/>
                <w:color w:val="000000"/>
                <w:sz w:val="20"/>
                <w:szCs w:val="20"/>
                <w:lang w:eastAsia="pt-BR"/>
              </w:rPr>
              <w:t xml:space="preserve"> Carolina </w:t>
            </w:r>
            <w:proofErr w:type="spellStart"/>
            <w:r w:rsidRPr="00416996">
              <w:rPr>
                <w:rFonts w:ascii="Times New Roman" w:eastAsia="Times New Roman" w:hAnsi="Times New Roman" w:cs="Times New Roman"/>
                <w:color w:val="000000"/>
                <w:sz w:val="20"/>
                <w:szCs w:val="20"/>
                <w:lang w:eastAsia="pt-BR"/>
              </w:rPr>
              <w:t>Calsa</w:t>
            </w:r>
            <w:proofErr w:type="spellEnd"/>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89B15CD"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2016</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0A04033"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 xml:space="preserve">Comerciais </w:t>
            </w:r>
            <w:proofErr w:type="spellStart"/>
            <w:r w:rsidRPr="00416996">
              <w:rPr>
                <w:rFonts w:ascii="Times New Roman" w:eastAsia="Times New Roman" w:hAnsi="Times New Roman" w:cs="Times New Roman"/>
                <w:color w:val="000000"/>
                <w:sz w:val="20"/>
                <w:szCs w:val="20"/>
                <w:lang w:eastAsia="pt-BR"/>
              </w:rPr>
              <w:t>KinderOvo</w:t>
            </w:r>
            <w:proofErr w:type="spellEnd"/>
            <w:r w:rsidRPr="00416996">
              <w:rPr>
                <w:rFonts w:ascii="Times New Roman" w:eastAsia="Times New Roman" w:hAnsi="Times New Roman" w:cs="Times New Roman"/>
                <w:color w:val="000000"/>
                <w:sz w:val="20"/>
                <w:szCs w:val="20"/>
                <w:lang w:eastAsia="pt-BR"/>
              </w:rPr>
              <w:t xml:space="preserve"> em 2013</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ECBBF7E" w14:textId="77777777" w:rsidR="00416996" w:rsidRPr="00416996" w:rsidRDefault="00416996" w:rsidP="00416996">
            <w:pPr>
              <w:jc w:val="center"/>
              <w:rPr>
                <w:rFonts w:ascii="Times New Roman" w:eastAsia="Times New Roman" w:hAnsi="Times New Roman" w:cs="Times New Roman"/>
                <w:lang w:eastAsia="pt-BR"/>
              </w:rPr>
            </w:pPr>
            <w:r w:rsidRPr="00416996">
              <w:rPr>
                <w:rFonts w:ascii="Times New Roman" w:eastAsia="Times New Roman" w:hAnsi="Times New Roman" w:cs="Times New Roman"/>
                <w:color w:val="000000"/>
                <w:sz w:val="20"/>
                <w:szCs w:val="20"/>
                <w:lang w:eastAsia="pt-BR"/>
              </w:rPr>
              <w:t>Gênero não é algo inato, ele é ensinado e inconstante. </w:t>
            </w:r>
          </w:p>
        </w:tc>
      </w:tr>
    </w:tbl>
    <w:p w14:paraId="3D799FAE" w14:textId="77777777" w:rsidR="0002671D" w:rsidRDefault="0002671D" w:rsidP="006D3F8B">
      <w:pPr>
        <w:spacing w:line="360" w:lineRule="auto"/>
        <w:rPr>
          <w:rFonts w:ascii="Times New Roman" w:hAnsi="Times New Roman" w:cs="Times New Roman"/>
          <w:b/>
        </w:rPr>
      </w:pPr>
    </w:p>
    <w:p w14:paraId="120942CF" w14:textId="1037886E" w:rsidR="007104CC" w:rsidRPr="009E38EE" w:rsidRDefault="007104CC" w:rsidP="006D3F8B">
      <w:pPr>
        <w:spacing w:line="360" w:lineRule="auto"/>
        <w:rPr>
          <w:rFonts w:ascii="Times New Roman" w:hAnsi="Times New Roman" w:cs="Times New Roman"/>
        </w:rPr>
      </w:pPr>
      <w:r w:rsidRPr="009E38EE">
        <w:rPr>
          <w:rFonts w:ascii="Times New Roman" w:hAnsi="Times New Roman" w:cs="Times New Roman"/>
          <w:b/>
        </w:rPr>
        <w:t>RESULTADOS E DISCUSSÕES:</w:t>
      </w:r>
      <w:r w:rsidRPr="009E38EE">
        <w:rPr>
          <w:rFonts w:ascii="Times New Roman" w:hAnsi="Times New Roman" w:cs="Times New Roman"/>
        </w:rPr>
        <w:t xml:space="preserve"> </w:t>
      </w:r>
    </w:p>
    <w:p w14:paraId="634535A9" w14:textId="77777777" w:rsidR="006975B0" w:rsidRDefault="006975B0" w:rsidP="0002671D">
      <w:pPr>
        <w:spacing w:line="360" w:lineRule="auto"/>
        <w:jc w:val="both"/>
        <w:rPr>
          <w:rFonts w:ascii="Times New Roman" w:hAnsi="Times New Roman" w:cs="Times New Roman"/>
        </w:rPr>
      </w:pPr>
      <w:r w:rsidRPr="006975B0">
        <w:rPr>
          <w:rFonts w:ascii="Times New Roman" w:hAnsi="Times New Roman" w:cs="Times New Roman"/>
        </w:rPr>
        <w:t xml:space="preserve">O termo beleza e similares é citado em todos os artigos mais de uma vez, com a ideia de que se espera que a mulher seja bela, mesmo quando ainda criança. Caso ela não seja, incentiva-se que ela busque a vaidade ou se enquadre no padrão, como abordado nos artigos “Meninas no YouTube: participação, celebrização e cultura do consumo”, “Um mundo de princesas e super heróis: representações de gênero em encarte publicitário” e “Um ovo azul e outro rosa: pedagogia Kinder e a construção visual dos gêneros e das infâncias”. Como explicitado nos artigos de Silva e Santos (2019); </w:t>
      </w:r>
      <w:proofErr w:type="spellStart"/>
      <w:r w:rsidRPr="006975B0">
        <w:rPr>
          <w:rFonts w:ascii="Times New Roman" w:hAnsi="Times New Roman" w:cs="Times New Roman"/>
        </w:rPr>
        <w:t>Sotolani</w:t>
      </w:r>
      <w:proofErr w:type="spellEnd"/>
      <w:r w:rsidRPr="006975B0">
        <w:rPr>
          <w:rFonts w:ascii="Times New Roman" w:hAnsi="Times New Roman" w:cs="Times New Roman"/>
        </w:rPr>
        <w:t xml:space="preserve"> e Filha (2021), Lisboa, Silva e Rezende (2015) e </w:t>
      </w:r>
      <w:proofErr w:type="spellStart"/>
      <w:r w:rsidRPr="006975B0">
        <w:rPr>
          <w:rFonts w:ascii="Times New Roman" w:hAnsi="Times New Roman" w:cs="Times New Roman"/>
        </w:rPr>
        <w:t>Maropô</w:t>
      </w:r>
      <w:proofErr w:type="spellEnd"/>
      <w:r w:rsidRPr="006975B0">
        <w:rPr>
          <w:rFonts w:ascii="Times New Roman" w:hAnsi="Times New Roman" w:cs="Times New Roman"/>
        </w:rPr>
        <w:t xml:space="preserve">, Sampaio e Miranda </w:t>
      </w:r>
      <w:r w:rsidRPr="006975B0">
        <w:rPr>
          <w:rFonts w:ascii="Times New Roman" w:hAnsi="Times New Roman" w:cs="Times New Roman"/>
        </w:rPr>
        <w:lastRenderedPageBreak/>
        <w:t>(2018) o padrão de beleza feminino determinado pelas mídias delimita um corpo magro e branco ou preto não retinto</w:t>
      </w:r>
    </w:p>
    <w:p w14:paraId="46504A1E" w14:textId="6E26C649" w:rsidR="0002671D" w:rsidRDefault="0002671D" w:rsidP="0002671D">
      <w:pPr>
        <w:spacing w:line="360" w:lineRule="auto"/>
        <w:jc w:val="both"/>
        <w:rPr>
          <w:rFonts w:ascii="Times New Roman" w:hAnsi="Times New Roman" w:cs="Times New Roman"/>
        </w:rPr>
      </w:pPr>
      <w:r w:rsidRPr="0002671D">
        <w:rPr>
          <w:rFonts w:ascii="Times New Roman" w:hAnsi="Times New Roman" w:cs="Times New Roman"/>
        </w:rPr>
        <w:t xml:space="preserve">Palavras que se referem ao cuidado doméstico tiveram grande destaque nas publicidades e revisões de todos os artigos analisados, de forma verbal ou representativa por meio de cenários e comportamento das crianças, como segurar uma réplica de um bebê ou estar em um ambiente doméstico. Nota-se que a menina é preparada para se localizar em ambientes domésticos e afazeres remetidos aos cuidados da casa, em que os comerciais frisam os cenários internos, com panelas e eletrodomésticos de brinquedo. </w:t>
      </w:r>
    </w:p>
    <w:p w14:paraId="3F75A152" w14:textId="1276AF10" w:rsidR="0002671D" w:rsidRDefault="0002671D" w:rsidP="0002671D">
      <w:pPr>
        <w:spacing w:line="360" w:lineRule="auto"/>
        <w:jc w:val="both"/>
        <w:rPr>
          <w:rFonts w:ascii="Times New Roman" w:hAnsi="Times New Roman" w:cs="Times New Roman"/>
        </w:rPr>
      </w:pPr>
      <w:r w:rsidRPr="0002671D">
        <w:rPr>
          <w:rFonts w:ascii="Times New Roman" w:hAnsi="Times New Roman" w:cs="Times New Roman"/>
        </w:rPr>
        <w:t xml:space="preserve">O incentivo à força e a valorização da virilidade dos meninos foi um destaque ao longo dos comerciais analisados em todos os artigos. Em sua maioria, ser menino estava associado em demonstrar sua força e agressividade aos níveis mais extremos que a criança fosse capaz. Reforçando-os sempre como forma de desafio ou competição entre os próprios meninos. Brinquedos que atiram, esmagam, lançam, batem e reproduzem visual de armas de fogo sempre apareceram com meninos estrelando o comercial. </w:t>
      </w:r>
    </w:p>
    <w:p w14:paraId="54942B65" w14:textId="6091D7AD" w:rsidR="0002671D" w:rsidRPr="006975B0" w:rsidRDefault="0002671D" w:rsidP="0002671D">
      <w:pPr>
        <w:spacing w:after="240" w:line="360" w:lineRule="auto"/>
        <w:jc w:val="both"/>
        <w:rPr>
          <w:rFonts w:ascii="Times New Roman" w:hAnsi="Times New Roman" w:cs="Times New Roman"/>
        </w:rPr>
      </w:pPr>
      <w:r w:rsidRPr="0002671D">
        <w:rPr>
          <w:rFonts w:ascii="Times New Roman" w:hAnsi="Times New Roman" w:cs="Times New Roman"/>
        </w:rPr>
        <w:t xml:space="preserve">Em suma, a mídia define que ser homem é ser forte o suficiente para se sobressair, demonstrar agressividade ligada às atividades de competição e estar em ambientes desafiadores sem hesitar, já que ele é um ser ativo e explorador sempre em movimento. </w:t>
      </w:r>
    </w:p>
    <w:p w14:paraId="6EDA6895" w14:textId="360119BD" w:rsidR="007104CC" w:rsidRDefault="007104CC" w:rsidP="006D3F8B">
      <w:pPr>
        <w:spacing w:line="360" w:lineRule="auto"/>
        <w:rPr>
          <w:rFonts w:ascii="Times New Roman" w:hAnsi="Times New Roman" w:cs="Times New Roman"/>
        </w:rPr>
      </w:pPr>
      <w:r w:rsidRPr="009E38EE">
        <w:rPr>
          <w:rFonts w:ascii="Times New Roman" w:hAnsi="Times New Roman" w:cs="Times New Roman"/>
          <w:b/>
        </w:rPr>
        <w:t>CONCLUSÕES:</w:t>
      </w:r>
      <w:r w:rsidRPr="009E38EE">
        <w:rPr>
          <w:rFonts w:ascii="Times New Roman" w:hAnsi="Times New Roman" w:cs="Times New Roman"/>
        </w:rPr>
        <w:t xml:space="preserve"> </w:t>
      </w:r>
    </w:p>
    <w:p w14:paraId="4E103275" w14:textId="03A061EA" w:rsidR="0002671D" w:rsidRDefault="0002671D" w:rsidP="0002671D">
      <w:pPr>
        <w:spacing w:line="360" w:lineRule="auto"/>
        <w:jc w:val="both"/>
        <w:rPr>
          <w:rFonts w:ascii="Times New Roman" w:hAnsi="Times New Roman" w:cs="Times New Roman"/>
        </w:rPr>
      </w:pPr>
      <w:r w:rsidRPr="0002671D">
        <w:rPr>
          <w:rFonts w:ascii="Times New Roman" w:hAnsi="Times New Roman" w:cs="Times New Roman"/>
        </w:rPr>
        <w:t xml:space="preserve">O processo da publicidade infantil reproduz a venda de um </w:t>
      </w:r>
      <w:proofErr w:type="gramStart"/>
      <w:r w:rsidRPr="0002671D">
        <w:rPr>
          <w:rFonts w:ascii="Times New Roman" w:hAnsi="Times New Roman" w:cs="Times New Roman"/>
        </w:rPr>
        <w:t>produto</w:t>
      </w:r>
      <w:proofErr w:type="gramEnd"/>
      <w:r w:rsidRPr="0002671D">
        <w:rPr>
          <w:rFonts w:ascii="Times New Roman" w:hAnsi="Times New Roman" w:cs="Times New Roman"/>
        </w:rPr>
        <w:t xml:space="preserve"> mas não somente ele em si, já que advém de estratégias para tornar o consumo atrativo, as quais acabam por vender também uma ideia ou comportamento. Dentre essas estratégias foi notada a busca de proximidade e identificação com o consumidor e comprador, respectivamente a criança e seus responsáveis. A proximidade é feita por reproduzir uma realidade que nem sempre é vivida pelo consumidor, entretanto é a qual ele almeja ou encara como necessária e correta. Dessa forma, juntamente com os produtos, há a venda também de um padrão de vida atrativo que acaba sendo relacionado como um padrão ideal pelos compradores.</w:t>
      </w:r>
    </w:p>
    <w:p w14:paraId="15830463" w14:textId="00542963" w:rsidR="0002671D" w:rsidRPr="009E38EE" w:rsidRDefault="00F85F6D" w:rsidP="00F85F6D">
      <w:pPr>
        <w:spacing w:after="240" w:line="360" w:lineRule="auto"/>
        <w:jc w:val="both"/>
        <w:rPr>
          <w:rFonts w:ascii="Times New Roman" w:hAnsi="Times New Roman" w:cs="Times New Roman"/>
        </w:rPr>
      </w:pPr>
      <w:r w:rsidRPr="00F85F6D">
        <w:rPr>
          <w:rFonts w:ascii="Times New Roman" w:hAnsi="Times New Roman" w:cs="Times New Roman"/>
        </w:rPr>
        <w:t>Conclui-se, portanto,</w:t>
      </w:r>
      <w:r w:rsidRPr="00F85F6D">
        <w:rPr>
          <w:rFonts w:ascii="Times New Roman" w:hAnsi="Times New Roman" w:cs="Times New Roman"/>
        </w:rPr>
        <w:t xml:space="preserve"> que o objetivo do trabalho foi alcançado, pois influências </w:t>
      </w:r>
      <w:r w:rsidRPr="00F85F6D">
        <w:rPr>
          <w:rFonts w:ascii="Times New Roman" w:hAnsi="Times New Roman" w:cs="Times New Roman"/>
        </w:rPr>
        <w:t>das publicidades</w:t>
      </w:r>
      <w:r w:rsidRPr="00F85F6D">
        <w:rPr>
          <w:rFonts w:ascii="Times New Roman" w:hAnsi="Times New Roman" w:cs="Times New Roman"/>
        </w:rPr>
        <w:t xml:space="preserve"> infantis foram evidenciadas e </w:t>
      </w:r>
      <w:r w:rsidRPr="00F85F6D">
        <w:rPr>
          <w:rFonts w:ascii="Times New Roman" w:hAnsi="Times New Roman" w:cs="Times New Roman"/>
        </w:rPr>
        <w:t>descritas.</w:t>
      </w:r>
      <w:r w:rsidRPr="00F85F6D">
        <w:rPr>
          <w:rFonts w:ascii="Times New Roman" w:hAnsi="Times New Roman" w:cs="Times New Roman"/>
        </w:rPr>
        <w:t xml:space="preserve"> Para além disso, novos </w:t>
      </w:r>
      <w:r w:rsidRPr="00F85F6D">
        <w:rPr>
          <w:rFonts w:ascii="Times New Roman" w:hAnsi="Times New Roman" w:cs="Times New Roman"/>
        </w:rPr>
        <w:lastRenderedPageBreak/>
        <w:t>questionamentos foram abertos, como acerca do padrão de consumo das crianças, estrutura social dos consumidores de publicidade infantil e novas pesquisas que abordem a construção de gênero para o público infantil.</w:t>
      </w:r>
    </w:p>
    <w:p w14:paraId="7CB9E4D2" w14:textId="7FFAE293" w:rsidR="007104CC" w:rsidRDefault="007104CC" w:rsidP="0002671D">
      <w:pPr>
        <w:rPr>
          <w:rFonts w:ascii="Times New Roman" w:hAnsi="Times New Roman" w:cs="Times New Roman"/>
        </w:rPr>
      </w:pPr>
      <w:r w:rsidRPr="009E38EE">
        <w:rPr>
          <w:rFonts w:ascii="Times New Roman" w:hAnsi="Times New Roman" w:cs="Times New Roman"/>
          <w:b/>
        </w:rPr>
        <w:t>REFERÊNCIAS:</w:t>
      </w:r>
      <w:r w:rsidRPr="009E38EE">
        <w:rPr>
          <w:rFonts w:ascii="Times New Roman" w:hAnsi="Times New Roman" w:cs="Times New Roman"/>
        </w:rPr>
        <w:t xml:space="preserve"> </w:t>
      </w:r>
    </w:p>
    <w:p w14:paraId="2A8F700C" w14:textId="77777777" w:rsidR="00F85F6D" w:rsidRDefault="00F85F6D" w:rsidP="00F85F6D">
      <w:pPr>
        <w:pStyle w:val="NormalWeb"/>
        <w:spacing w:before="240" w:beforeAutospacing="0" w:after="0" w:afterAutospacing="0"/>
        <w:jc w:val="both"/>
        <w:rPr>
          <w:color w:val="000000"/>
        </w:rPr>
      </w:pPr>
      <w:r>
        <w:rPr>
          <w:color w:val="000000"/>
        </w:rPr>
        <w:t xml:space="preserve">ALCÂNTARA, Alessandra; GUEDES, Brenda (Org.). </w:t>
      </w:r>
      <w:r>
        <w:rPr>
          <w:b/>
          <w:bCs/>
          <w:color w:val="000000"/>
        </w:rPr>
        <w:t>Comunicação e infância: processos em perspectiva</w:t>
      </w:r>
      <w:r>
        <w:rPr>
          <w:color w:val="000000"/>
        </w:rPr>
        <w:t>. São Paulo: Pimenta Cultural, 2017.</w:t>
      </w:r>
    </w:p>
    <w:p w14:paraId="2092A6CC" w14:textId="3515A379" w:rsidR="00F85F6D" w:rsidRDefault="00F85F6D" w:rsidP="00F85F6D">
      <w:pPr>
        <w:pStyle w:val="NormalWeb"/>
        <w:spacing w:before="240" w:beforeAutospacing="0" w:after="0" w:afterAutospacing="0"/>
        <w:jc w:val="both"/>
        <w:rPr>
          <w:color w:val="000000"/>
        </w:rPr>
      </w:pPr>
      <w:r>
        <w:rPr>
          <w:color w:val="000000"/>
        </w:rPr>
        <w:t xml:space="preserve">LAURETIS, Teresa De: A tecnologia de gênero. </w:t>
      </w:r>
      <w:r>
        <w:rPr>
          <w:i/>
          <w:iCs/>
          <w:color w:val="000000"/>
        </w:rPr>
        <w:t>In</w:t>
      </w:r>
      <w:r>
        <w:rPr>
          <w:color w:val="000000"/>
        </w:rPr>
        <w:t xml:space="preserve">: HOLANDA, Heloisa Buarque de (Org.). </w:t>
      </w:r>
      <w:r>
        <w:rPr>
          <w:b/>
          <w:bCs/>
          <w:color w:val="000000"/>
        </w:rPr>
        <w:t>Tendências e impasses: o feminismo como crítica cultural</w:t>
      </w:r>
      <w:r>
        <w:rPr>
          <w:color w:val="000000"/>
        </w:rPr>
        <w:t xml:space="preserve"> Rio de Janeiro, Rocco, 1994. p. 206-242.</w:t>
      </w:r>
    </w:p>
    <w:p w14:paraId="276C8CD5" w14:textId="26E8806F" w:rsidR="00F85F6D" w:rsidRDefault="00EC2A2C" w:rsidP="00EC2A2C">
      <w:pPr>
        <w:pStyle w:val="NormalWeb"/>
        <w:spacing w:before="240" w:beforeAutospacing="0" w:after="0" w:afterAutospacing="0"/>
        <w:jc w:val="both"/>
        <w:rPr>
          <w:color w:val="000000"/>
        </w:rPr>
      </w:pPr>
      <w:r w:rsidRPr="00EC2A2C">
        <w:rPr>
          <w:color w:val="000000"/>
        </w:rPr>
        <w:t xml:space="preserve">QVORTRUP, Jens. </w:t>
      </w:r>
      <w:r w:rsidRPr="00EC2A2C">
        <w:rPr>
          <w:b/>
          <w:bCs/>
          <w:color w:val="000000"/>
        </w:rPr>
        <w:t>A infância enquanto categoria estrutural. Educação e pesquisa,</w:t>
      </w:r>
      <w:r w:rsidRPr="00EC2A2C">
        <w:rPr>
          <w:color w:val="000000"/>
        </w:rPr>
        <w:t xml:space="preserve"> São Paulo, v. 36, n. 2, p. 631-643, 2010.</w:t>
      </w:r>
    </w:p>
    <w:p w14:paraId="01D1AEDF" w14:textId="7470E789" w:rsidR="00EC2A2C" w:rsidRPr="00F85F6D" w:rsidRDefault="00EC2A2C" w:rsidP="00EC2A2C">
      <w:pPr>
        <w:pStyle w:val="NormalWeb"/>
        <w:spacing w:before="240" w:beforeAutospacing="0" w:after="240" w:afterAutospacing="0"/>
        <w:jc w:val="both"/>
        <w:rPr>
          <w:color w:val="000000"/>
        </w:rPr>
      </w:pPr>
      <w:r>
        <w:t xml:space="preserve">SILVA, A. K. L. S. da. </w:t>
      </w:r>
      <w:r w:rsidRPr="00EC2A2C">
        <w:rPr>
          <w:b/>
          <w:bCs/>
        </w:rPr>
        <w:t>Diversidade sexual e de gênero: a construção do sujeito social.</w:t>
      </w:r>
      <w:r>
        <w:t xml:space="preserve"> Rev. NUFEN [online]. v.5, n.1, </w:t>
      </w:r>
      <w:proofErr w:type="gramStart"/>
      <w:r>
        <w:t>Janeiro</w:t>
      </w:r>
      <w:proofErr w:type="gramEnd"/>
      <w:r>
        <w:t>-Julho, 12-25, 2013.</w:t>
      </w:r>
    </w:p>
    <w:p w14:paraId="028C4394" w14:textId="77777777" w:rsidR="007104CC" w:rsidRPr="009E38EE" w:rsidRDefault="007104CC" w:rsidP="006D3F8B">
      <w:pPr>
        <w:spacing w:line="360" w:lineRule="auto"/>
        <w:jc w:val="both"/>
        <w:rPr>
          <w:rFonts w:ascii="Times New Roman" w:hAnsi="Times New Roman" w:cs="Times New Roman"/>
          <w:b/>
        </w:rPr>
      </w:pPr>
      <w:r w:rsidRPr="009E38EE">
        <w:rPr>
          <w:rFonts w:ascii="Times New Roman" w:hAnsi="Times New Roman" w:cs="Times New Roman"/>
          <w:b/>
        </w:rPr>
        <w:t>FOMENTO</w:t>
      </w:r>
    </w:p>
    <w:p w14:paraId="134F8F78" w14:textId="3FE33DA5" w:rsidR="007104CC" w:rsidRPr="0002671D" w:rsidRDefault="0002671D" w:rsidP="0002671D">
      <w:pPr>
        <w:spacing w:line="360" w:lineRule="auto"/>
        <w:jc w:val="both"/>
        <w:rPr>
          <w:rFonts w:ascii="Times New Roman" w:hAnsi="Times New Roman" w:cs="Times New Roman"/>
        </w:rPr>
      </w:pPr>
      <w:r w:rsidRPr="0002671D">
        <w:rPr>
          <w:rFonts w:ascii="Times New Roman" w:hAnsi="Times New Roman" w:cs="Times New Roman"/>
        </w:rPr>
        <w:t>O trabalho teve a concessão de Bolsa pelo Programa Ânima de Iniciação Científica (PRO-CIÊNCIA) do Ecossistema Ânima de Educação.</w:t>
      </w:r>
    </w:p>
    <w:sectPr w:rsidR="007104CC" w:rsidRPr="0002671D" w:rsidSect="00B17C21">
      <w:headerReference w:type="default" r:id="rId10"/>
      <w:footerReference w:type="default" r:id="rId11"/>
      <w:pgSz w:w="11906" w:h="16838"/>
      <w:pgMar w:top="1440" w:right="1700" w:bottom="1440" w:left="1985"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7C9F" w14:textId="77777777" w:rsidR="00DB31B4" w:rsidRDefault="00DB31B4" w:rsidP="00542851">
      <w:r>
        <w:separator/>
      </w:r>
    </w:p>
  </w:endnote>
  <w:endnote w:type="continuationSeparator" w:id="0">
    <w:p w14:paraId="4FC44841" w14:textId="77777777" w:rsidR="00DB31B4" w:rsidRDefault="00DB31B4" w:rsidP="00542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317EA" w14:textId="1D221521" w:rsidR="00F73C61" w:rsidRDefault="00F73C61">
    <w:pPr>
      <w:pStyle w:val="Rodap"/>
      <w:rPr>
        <w:color w:val="000000"/>
        <w:sz w:val="20"/>
        <w:szCs w:val="20"/>
      </w:rPr>
    </w:pPr>
    <w:r>
      <w:t>¹</w:t>
    </w:r>
    <w:r>
      <w:rPr>
        <w:color w:val="000000"/>
        <w:sz w:val="20"/>
        <w:szCs w:val="20"/>
      </w:rPr>
      <w:t> Acadêmica de Psicologia</w:t>
    </w:r>
  </w:p>
  <w:p w14:paraId="546924F7" w14:textId="0E2A013E" w:rsidR="00F73C61" w:rsidRDefault="00F73C61" w:rsidP="00F73C61">
    <w:pPr>
      <w:pStyle w:val="NormalWeb"/>
      <w:spacing w:before="0" w:beforeAutospacing="0" w:after="0" w:afterAutospacing="0"/>
    </w:pPr>
    <w:r>
      <w:rPr>
        <w:color w:val="000000"/>
        <w:sz w:val="20"/>
        <w:szCs w:val="20"/>
      </w:rPr>
      <w:t>²</w:t>
    </w:r>
    <w:r>
      <w:rPr>
        <w:color w:val="000000"/>
        <w:sz w:val="20"/>
        <w:szCs w:val="20"/>
      </w:rPr>
      <w:t xml:space="preserve">Doutorando em Psicologia, docente da UNA </w:t>
    </w:r>
    <w:proofErr w:type="gramStart"/>
    <w:r>
      <w:rPr>
        <w:color w:val="000000"/>
        <w:sz w:val="20"/>
        <w:szCs w:val="20"/>
      </w:rPr>
      <w:t>Itabira;  arthur.kelles@animaeducacao.com.br</w:t>
    </w:r>
    <w:proofErr w:type="gramEnd"/>
  </w:p>
  <w:p w14:paraId="4571FD19" w14:textId="5BE37EDC" w:rsidR="00542851" w:rsidRPr="00542851" w:rsidRDefault="0054285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5D294" w14:textId="77777777" w:rsidR="00DB31B4" w:rsidRDefault="00DB31B4" w:rsidP="00542851">
      <w:r>
        <w:separator/>
      </w:r>
    </w:p>
  </w:footnote>
  <w:footnote w:type="continuationSeparator" w:id="0">
    <w:p w14:paraId="533C7BEA" w14:textId="77777777" w:rsidR="00DB31B4" w:rsidRDefault="00DB31B4" w:rsidP="00542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3F47" w14:textId="302EA7B8" w:rsidR="00542851" w:rsidRDefault="00E4715D" w:rsidP="008E5D17">
    <w:pPr>
      <w:pStyle w:val="Cabealho"/>
      <w:jc w:val="right"/>
    </w:pPr>
    <w:r>
      <w:rPr>
        <w:noProof/>
        <w:lang w:eastAsia="pt-BR"/>
      </w:rPr>
      <w:drawing>
        <wp:inline distT="0" distB="0" distL="0" distR="0" wp14:anchorId="08E51DE8" wp14:editId="02F90CCC">
          <wp:extent cx="868961" cy="647700"/>
          <wp:effectExtent l="0" t="0" r="762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_ecossistema_roxodegrade_Men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7804" cy="691560"/>
                  </a:xfrm>
                  <a:prstGeom prst="rect">
                    <a:avLst/>
                  </a:prstGeom>
                </pic:spPr>
              </pic:pic>
            </a:graphicData>
          </a:graphic>
        </wp:inline>
      </w:drawing>
    </w:r>
  </w:p>
  <w:p w14:paraId="555614B5" w14:textId="76FB77F8" w:rsidR="004E5CF4" w:rsidRDefault="004E5CF4">
    <w:pPr>
      <w:pStyle w:val="Cabealho"/>
    </w:pPr>
  </w:p>
  <w:p w14:paraId="2836520B" w14:textId="77777777" w:rsidR="004E5CF4" w:rsidRDefault="004E5C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E0B81"/>
    <w:multiLevelType w:val="hybridMultilevel"/>
    <w:tmpl w:val="1D06D5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11E8340E"/>
    <w:multiLevelType w:val="hybridMultilevel"/>
    <w:tmpl w:val="73804E7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99902541">
    <w:abstractNumId w:val="1"/>
  </w:num>
  <w:num w:numId="2" w16cid:durableId="734162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51"/>
    <w:rsid w:val="0002671D"/>
    <w:rsid w:val="00046BBA"/>
    <w:rsid w:val="000F6C23"/>
    <w:rsid w:val="001236F3"/>
    <w:rsid w:val="001A3042"/>
    <w:rsid w:val="00341101"/>
    <w:rsid w:val="00416996"/>
    <w:rsid w:val="00475C9A"/>
    <w:rsid w:val="0048260B"/>
    <w:rsid w:val="004E5CF4"/>
    <w:rsid w:val="00542851"/>
    <w:rsid w:val="005915F4"/>
    <w:rsid w:val="006975B0"/>
    <w:rsid w:val="006D3F8B"/>
    <w:rsid w:val="007104CC"/>
    <w:rsid w:val="00793ABF"/>
    <w:rsid w:val="007E3E5B"/>
    <w:rsid w:val="00882D38"/>
    <w:rsid w:val="00895FB2"/>
    <w:rsid w:val="008E5D17"/>
    <w:rsid w:val="00936160"/>
    <w:rsid w:val="009E38EE"/>
    <w:rsid w:val="00A90F5A"/>
    <w:rsid w:val="00B17C21"/>
    <w:rsid w:val="00B21257"/>
    <w:rsid w:val="00B312DE"/>
    <w:rsid w:val="00B657BC"/>
    <w:rsid w:val="00B95E7F"/>
    <w:rsid w:val="00BD53F4"/>
    <w:rsid w:val="00CF2FF2"/>
    <w:rsid w:val="00DB31B4"/>
    <w:rsid w:val="00E468F4"/>
    <w:rsid w:val="00E4715D"/>
    <w:rsid w:val="00E75BB6"/>
    <w:rsid w:val="00EC2A2C"/>
    <w:rsid w:val="00F0326B"/>
    <w:rsid w:val="00F67DFF"/>
    <w:rsid w:val="00F73C61"/>
    <w:rsid w:val="00F85F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EE6BE"/>
  <w15:chartTrackingRefBased/>
  <w15:docId w15:val="{8E6B2216-A996-439E-B041-A650F55F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257"/>
    <w:pPr>
      <w:spacing w:after="0" w:line="240" w:lineRule="auto"/>
    </w:pPr>
    <w:rPr>
      <w:sz w:val="24"/>
      <w:szCs w:val="24"/>
    </w:rPr>
  </w:style>
  <w:style w:type="paragraph" w:styleId="Ttulo2">
    <w:name w:val="heading 2"/>
    <w:basedOn w:val="Normal"/>
    <w:next w:val="Normal"/>
    <w:link w:val="Ttulo2Char"/>
    <w:uiPriority w:val="9"/>
    <w:semiHidden/>
    <w:unhideWhenUsed/>
    <w:qFormat/>
    <w:rsid w:val="00B2125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42851"/>
    <w:pPr>
      <w:tabs>
        <w:tab w:val="center" w:pos="4513"/>
        <w:tab w:val="right" w:pos="9026"/>
      </w:tabs>
    </w:pPr>
    <w:rPr>
      <w:sz w:val="22"/>
      <w:szCs w:val="22"/>
    </w:rPr>
  </w:style>
  <w:style w:type="character" w:customStyle="1" w:styleId="CabealhoChar">
    <w:name w:val="Cabeçalho Char"/>
    <w:basedOn w:val="Fontepargpadro"/>
    <w:link w:val="Cabealho"/>
    <w:uiPriority w:val="99"/>
    <w:rsid w:val="00542851"/>
  </w:style>
  <w:style w:type="paragraph" w:styleId="Rodap">
    <w:name w:val="footer"/>
    <w:basedOn w:val="Normal"/>
    <w:link w:val="RodapChar"/>
    <w:uiPriority w:val="99"/>
    <w:unhideWhenUsed/>
    <w:rsid w:val="00542851"/>
    <w:pPr>
      <w:tabs>
        <w:tab w:val="center" w:pos="4513"/>
        <w:tab w:val="right" w:pos="9026"/>
      </w:tabs>
    </w:pPr>
    <w:rPr>
      <w:sz w:val="22"/>
      <w:szCs w:val="22"/>
    </w:rPr>
  </w:style>
  <w:style w:type="character" w:customStyle="1" w:styleId="RodapChar">
    <w:name w:val="Rodapé Char"/>
    <w:basedOn w:val="Fontepargpadro"/>
    <w:link w:val="Rodap"/>
    <w:uiPriority w:val="99"/>
    <w:rsid w:val="00542851"/>
  </w:style>
  <w:style w:type="paragraph" w:customStyle="1" w:styleId="Pargrafobsico">
    <w:name w:val="[Parágrafo básico]"/>
    <w:basedOn w:val="Normal"/>
    <w:uiPriority w:val="99"/>
    <w:rsid w:val="00542851"/>
    <w:pPr>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Fontepargpadro"/>
    <w:uiPriority w:val="99"/>
    <w:semiHidden/>
    <w:unhideWhenUsed/>
    <w:rsid w:val="00B17C21"/>
    <w:rPr>
      <w:color w:val="0563C1" w:themeColor="hyperlink"/>
      <w:u w:val="single"/>
    </w:rPr>
  </w:style>
  <w:style w:type="paragraph" w:styleId="PargrafodaLista">
    <w:name w:val="List Paragraph"/>
    <w:basedOn w:val="Normal"/>
    <w:uiPriority w:val="34"/>
    <w:qFormat/>
    <w:rsid w:val="00B17C21"/>
    <w:pPr>
      <w:ind w:left="720"/>
      <w:contextualSpacing/>
    </w:pPr>
    <w:rPr>
      <w:sz w:val="22"/>
      <w:szCs w:val="22"/>
    </w:rPr>
  </w:style>
  <w:style w:type="character" w:customStyle="1" w:styleId="Ttulo2Char">
    <w:name w:val="Título 2 Char"/>
    <w:basedOn w:val="Fontepargpadro"/>
    <w:link w:val="Ttulo2"/>
    <w:uiPriority w:val="9"/>
    <w:semiHidden/>
    <w:rsid w:val="00B21257"/>
    <w:rPr>
      <w:rFonts w:asciiTheme="majorHAnsi" w:eastAsiaTheme="majorEastAsia" w:hAnsiTheme="majorHAnsi" w:cstheme="majorBidi"/>
      <w:color w:val="2F5496" w:themeColor="accent1" w:themeShade="BF"/>
      <w:sz w:val="26"/>
      <w:szCs w:val="26"/>
    </w:rPr>
  </w:style>
  <w:style w:type="paragraph" w:customStyle="1" w:styleId="animate">
    <w:name w:val="animate"/>
    <w:basedOn w:val="Normal"/>
    <w:rsid w:val="00B21257"/>
    <w:pPr>
      <w:spacing w:before="100" w:beforeAutospacing="1" w:after="100" w:afterAutospacing="1"/>
    </w:pPr>
    <w:rPr>
      <w:rFonts w:ascii="Times New Roman" w:eastAsia="Times New Roman" w:hAnsi="Times New Roman" w:cs="Times New Roman"/>
      <w:lang w:eastAsia="pt-BR"/>
    </w:rPr>
  </w:style>
  <w:style w:type="paragraph" w:styleId="Legenda">
    <w:name w:val="caption"/>
    <w:basedOn w:val="Normal"/>
    <w:next w:val="Normal"/>
    <w:qFormat/>
    <w:rsid w:val="007104CC"/>
    <w:rPr>
      <w:rFonts w:ascii="Times New Roman" w:eastAsia="Times New Roman" w:hAnsi="Times New Roman" w:cs="Times New Roman"/>
      <w:b/>
      <w:bCs/>
      <w:sz w:val="20"/>
      <w:szCs w:val="20"/>
      <w:lang w:eastAsia="pt-BR"/>
    </w:rPr>
  </w:style>
  <w:style w:type="paragraph" w:customStyle="1" w:styleId="Padro">
    <w:name w:val="Padrão"/>
    <w:rsid w:val="007104CC"/>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spacing w:after="0" w:line="240" w:lineRule="auto"/>
    </w:pPr>
    <w:rPr>
      <w:rFonts w:ascii="Microsoft YaHei" w:eastAsia="Microsoft YaHei" w:hAnsi="Times New Roman" w:cs="Microsoft YaHei"/>
      <w:color w:val="333333"/>
      <w:sz w:val="48"/>
      <w:szCs w:val="48"/>
      <w:lang w:eastAsia="pt-BR"/>
    </w:rPr>
  </w:style>
  <w:style w:type="paragraph" w:styleId="NormalWeb">
    <w:name w:val="Normal (Web)"/>
    <w:basedOn w:val="Normal"/>
    <w:uiPriority w:val="99"/>
    <w:unhideWhenUsed/>
    <w:rsid w:val="00F73C61"/>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6788">
      <w:bodyDiv w:val="1"/>
      <w:marLeft w:val="0"/>
      <w:marRight w:val="0"/>
      <w:marTop w:val="0"/>
      <w:marBottom w:val="0"/>
      <w:divBdr>
        <w:top w:val="none" w:sz="0" w:space="0" w:color="auto"/>
        <w:left w:val="none" w:sz="0" w:space="0" w:color="auto"/>
        <w:bottom w:val="none" w:sz="0" w:space="0" w:color="auto"/>
        <w:right w:val="none" w:sz="0" w:space="0" w:color="auto"/>
      </w:divBdr>
    </w:div>
    <w:div w:id="569192132">
      <w:bodyDiv w:val="1"/>
      <w:marLeft w:val="0"/>
      <w:marRight w:val="0"/>
      <w:marTop w:val="0"/>
      <w:marBottom w:val="0"/>
      <w:divBdr>
        <w:top w:val="none" w:sz="0" w:space="0" w:color="auto"/>
        <w:left w:val="none" w:sz="0" w:space="0" w:color="auto"/>
        <w:bottom w:val="none" w:sz="0" w:space="0" w:color="auto"/>
        <w:right w:val="none" w:sz="0" w:space="0" w:color="auto"/>
      </w:divBdr>
    </w:div>
    <w:div w:id="936332096">
      <w:bodyDiv w:val="1"/>
      <w:marLeft w:val="0"/>
      <w:marRight w:val="0"/>
      <w:marTop w:val="0"/>
      <w:marBottom w:val="0"/>
      <w:divBdr>
        <w:top w:val="none" w:sz="0" w:space="0" w:color="auto"/>
        <w:left w:val="none" w:sz="0" w:space="0" w:color="auto"/>
        <w:bottom w:val="none" w:sz="0" w:space="0" w:color="auto"/>
        <w:right w:val="none" w:sz="0" w:space="0" w:color="auto"/>
      </w:divBdr>
    </w:div>
    <w:div w:id="1163083444">
      <w:bodyDiv w:val="1"/>
      <w:marLeft w:val="0"/>
      <w:marRight w:val="0"/>
      <w:marTop w:val="0"/>
      <w:marBottom w:val="0"/>
      <w:divBdr>
        <w:top w:val="none" w:sz="0" w:space="0" w:color="auto"/>
        <w:left w:val="none" w:sz="0" w:space="0" w:color="auto"/>
        <w:bottom w:val="none" w:sz="0" w:space="0" w:color="auto"/>
        <w:right w:val="none" w:sz="0" w:space="0" w:color="auto"/>
      </w:divBdr>
    </w:div>
    <w:div w:id="163767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507189212B84D4A87E4B57D7BFC85DA" ma:contentTypeVersion="0" ma:contentTypeDescription="Crie um novo documento." ma:contentTypeScope="" ma:versionID="9d2802b45eca0bb9e8409ebf72966ed1">
  <xsd:schema xmlns:xsd="http://www.w3.org/2001/XMLSchema" xmlns:xs="http://www.w3.org/2001/XMLSchema" xmlns:p="http://schemas.microsoft.com/office/2006/metadata/properties" targetNamespace="http://schemas.microsoft.com/office/2006/metadata/properties" ma:root="true" ma:fieldsID="9bc818cf1145989097f6375b3efe2c9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F7E87-8F33-4532-A6BB-B5EE0CAE305B}">
  <ds:schemaRefs>
    <ds:schemaRef ds:uri="http://schemas.microsoft.com/sharepoint/v3/contenttype/forms"/>
  </ds:schemaRefs>
</ds:datastoreItem>
</file>

<file path=customXml/itemProps2.xml><?xml version="1.0" encoding="utf-8"?>
<ds:datastoreItem xmlns:ds="http://schemas.openxmlformats.org/officeDocument/2006/customXml" ds:itemID="{CE27E9BA-C30D-4191-9FF1-4C5358DC49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9326E-6964-4158-9724-F4367C5A5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1547</Words>
  <Characters>8358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 Papini</dc:creator>
  <cp:keywords/>
  <dc:description/>
  <cp:lastModifiedBy>Raissa Fortunato</cp:lastModifiedBy>
  <cp:revision>2</cp:revision>
  <dcterms:created xsi:type="dcterms:W3CDTF">2023-10-25T01:04:00Z</dcterms:created>
  <dcterms:modified xsi:type="dcterms:W3CDTF">2023-10-25T01:04:00Z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0x010100F507189212B84D4A87E4B57D7BFC85DA</vt:lpwstr>
  </property>
</Properties>
</file>