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A3534" w14:textId="0827C165" w:rsidR="0041227D" w:rsidRPr="0041227D" w:rsidRDefault="00B678C4" w:rsidP="0041227D">
      <w:pPr>
        <w:spacing w:line="360" w:lineRule="auto"/>
        <w:jc w:val="center"/>
        <w:rPr>
          <w:rFonts w:ascii="Times New Roman" w:eastAsia="Arial" w:hAnsi="Times New Roman" w:cs="Times New Roman"/>
          <w:b/>
        </w:rPr>
      </w:pPr>
      <w:r w:rsidRPr="00B678C4">
        <w:rPr>
          <w:rFonts w:ascii="Times New Roman" w:eastAsia="Arial" w:hAnsi="Times New Roman" w:cs="Times New Roman"/>
          <w:b/>
        </w:rPr>
        <w:t>O EFEITO DE DOIS PROTOCOLOS DE TREINO NO LEG PRESS 45º, UM DE FORMA BILATERAL E OUTRO DE FORMA UNILATERAL, NA REDUÇÃO DO DÉFICIT DE FORÇA ENTRE MEMBROS INFERIORES</w:t>
      </w:r>
    </w:p>
    <w:p w14:paraId="65956C2B" w14:textId="12375C99" w:rsidR="00B678C4" w:rsidRPr="00B678C4" w:rsidRDefault="00B678C4" w:rsidP="0041227D">
      <w:pPr>
        <w:jc w:val="center"/>
        <w:rPr>
          <w:rFonts w:ascii="Times New Roman" w:hAnsi="Times New Roman" w:cs="Times New Roman"/>
          <w:lang w:eastAsia="pt-BR"/>
        </w:rPr>
      </w:pPr>
      <w:r w:rsidRPr="00B678C4">
        <w:rPr>
          <w:rFonts w:ascii="Times New Roman" w:hAnsi="Times New Roman" w:cs="Times New Roman"/>
          <w:lang w:eastAsia="pt-BR"/>
        </w:rPr>
        <w:t>Airon Lima Medeiros</w:t>
      </w:r>
      <w:r w:rsidR="0041227D">
        <w:rPr>
          <w:rFonts w:ascii="Times New Roman" w:hAnsi="Times New Roman" w:cs="Times New Roman"/>
          <w:lang w:eastAsia="pt-BR"/>
        </w:rPr>
        <w:t xml:space="preserve">; </w:t>
      </w:r>
      <w:proofErr w:type="spellStart"/>
      <w:r w:rsidR="0041227D" w:rsidRPr="00B678C4">
        <w:rPr>
          <w:rFonts w:ascii="Times New Roman" w:hAnsi="Times New Roman" w:cs="Times New Roman"/>
          <w:lang w:eastAsia="pt-BR"/>
        </w:rPr>
        <w:t>Msc</w:t>
      </w:r>
      <w:proofErr w:type="spellEnd"/>
      <w:r w:rsidR="0041227D" w:rsidRPr="00B678C4">
        <w:rPr>
          <w:rFonts w:ascii="Times New Roman" w:hAnsi="Times New Roman" w:cs="Times New Roman"/>
          <w:lang w:eastAsia="pt-BR"/>
        </w:rPr>
        <w:t>. José Francisco da Silva (orientador)</w:t>
      </w:r>
    </w:p>
    <w:p w14:paraId="1EC5C171" w14:textId="597422D5" w:rsidR="00B678C4" w:rsidRPr="00B678C4" w:rsidRDefault="00B678C4" w:rsidP="00B678C4">
      <w:pPr>
        <w:jc w:val="center"/>
        <w:rPr>
          <w:rFonts w:ascii="Times New Roman" w:hAnsi="Times New Roman" w:cs="Times New Roman"/>
          <w:lang w:eastAsia="pt-BR"/>
        </w:rPr>
      </w:pPr>
      <w:r w:rsidRPr="00B678C4">
        <w:rPr>
          <w:rFonts w:ascii="Times New Roman" w:hAnsi="Times New Roman" w:cs="Times New Roman"/>
          <w:lang w:eastAsia="pt-BR"/>
        </w:rPr>
        <w:t>UNP – Universidade Potiguar</w:t>
      </w:r>
    </w:p>
    <w:p w14:paraId="7691DC81" w14:textId="78512DF1" w:rsidR="00B678C4" w:rsidRPr="00B678C4" w:rsidRDefault="00B678C4" w:rsidP="00B678C4">
      <w:pPr>
        <w:jc w:val="center"/>
        <w:rPr>
          <w:rFonts w:ascii="Times New Roman" w:hAnsi="Times New Roman" w:cs="Times New Roman"/>
          <w:lang w:eastAsia="pt-BR"/>
        </w:rPr>
      </w:pPr>
      <w:hyperlink r:id="rId10" w:history="1">
        <w:r w:rsidRPr="00491298">
          <w:rPr>
            <w:rStyle w:val="Hyperlink"/>
            <w:rFonts w:ascii="Times New Roman" w:hAnsi="Times New Roman" w:cs="Times New Roman"/>
            <w:lang w:eastAsia="pt-BR"/>
          </w:rPr>
          <w:t>aironlima10@gmail.com</w:t>
        </w:r>
      </w:hyperlink>
    </w:p>
    <w:p w14:paraId="795F6E11" w14:textId="77777777" w:rsidR="007104CC" w:rsidRPr="009E38EE" w:rsidRDefault="007104CC" w:rsidP="006D3F8B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5D0E7411" w14:textId="4F3FBFED" w:rsidR="007104CC" w:rsidRDefault="00B678C4" w:rsidP="006D3F8B">
      <w:pPr>
        <w:pStyle w:val="Legenda"/>
        <w:spacing w:line="360" w:lineRule="auto"/>
        <w:rPr>
          <w:sz w:val="24"/>
          <w:szCs w:val="24"/>
        </w:rPr>
      </w:pPr>
      <w:r w:rsidRPr="009E38EE">
        <w:rPr>
          <w:sz w:val="24"/>
          <w:szCs w:val="24"/>
        </w:rPr>
        <w:t xml:space="preserve">RESUMO </w:t>
      </w:r>
    </w:p>
    <w:p w14:paraId="1E7EAE29" w14:textId="7AC77466" w:rsidR="00B678C4" w:rsidRPr="00B678C4" w:rsidRDefault="00B678C4" w:rsidP="00B678C4">
      <w:pPr>
        <w:spacing w:line="360" w:lineRule="auto"/>
        <w:jc w:val="both"/>
        <w:rPr>
          <w:rFonts w:ascii="Times New Roman" w:hAnsi="Times New Roman" w:cs="Times New Roman"/>
        </w:rPr>
      </w:pPr>
      <w:r w:rsidRPr="00B678C4">
        <w:rPr>
          <w:rFonts w:ascii="Times New Roman" w:eastAsia="Arial" w:hAnsi="Times New Roman" w:cs="Times New Roman"/>
        </w:rPr>
        <w:t>O</w:t>
      </w:r>
      <w:r w:rsidRPr="00B678C4">
        <w:rPr>
          <w:rFonts w:ascii="Times New Roman" w:hAnsi="Times New Roman" w:cs="Times New Roman"/>
        </w:rPr>
        <w:t xml:space="preserve"> </w:t>
      </w:r>
      <w:proofErr w:type="spellStart"/>
      <w:r w:rsidRPr="00B678C4">
        <w:rPr>
          <w:rFonts w:ascii="Times New Roman" w:hAnsi="Times New Roman" w:cs="Times New Roman"/>
        </w:rPr>
        <w:t>leg</w:t>
      </w:r>
      <w:proofErr w:type="spellEnd"/>
      <w:r w:rsidRPr="00B678C4">
        <w:rPr>
          <w:rFonts w:ascii="Times New Roman" w:hAnsi="Times New Roman" w:cs="Times New Roman"/>
        </w:rPr>
        <w:t xml:space="preserve"> </w:t>
      </w:r>
      <w:proofErr w:type="spellStart"/>
      <w:r w:rsidRPr="00B678C4">
        <w:rPr>
          <w:rFonts w:ascii="Times New Roman" w:hAnsi="Times New Roman" w:cs="Times New Roman"/>
        </w:rPr>
        <w:t>press</w:t>
      </w:r>
      <w:proofErr w:type="spellEnd"/>
      <w:r w:rsidRPr="00B678C4">
        <w:rPr>
          <w:rFonts w:ascii="Times New Roman" w:hAnsi="Times New Roman" w:cs="Times New Roman"/>
        </w:rPr>
        <w:t xml:space="preserve"> 45º é um exercício muito utilizado, no qual é treinado de forma bilateral e unilateral, mas quando realizado de forma unilateral, é notado uma queda de rendimento. </w:t>
      </w:r>
      <w:r w:rsidR="004C4108">
        <w:rPr>
          <w:rFonts w:ascii="Times New Roman" w:hAnsi="Times New Roman" w:cs="Times New Roman"/>
        </w:rPr>
        <w:t>O o</w:t>
      </w:r>
      <w:r w:rsidRPr="00B678C4">
        <w:rPr>
          <w:rFonts w:ascii="Times New Roman" w:hAnsi="Times New Roman" w:cs="Times New Roman"/>
        </w:rPr>
        <w:t>bjetivo</w:t>
      </w:r>
      <w:r w:rsidR="004C4108">
        <w:rPr>
          <w:rFonts w:ascii="Times New Roman" w:hAnsi="Times New Roman" w:cs="Times New Roman"/>
        </w:rPr>
        <w:t xml:space="preserve"> do estudo foi</w:t>
      </w:r>
      <w:r w:rsidRPr="00B678C4">
        <w:rPr>
          <w:rFonts w:ascii="Times New Roman" w:hAnsi="Times New Roman" w:cs="Times New Roman"/>
        </w:rPr>
        <w:t xml:space="preserve"> </w:t>
      </w:r>
      <w:r w:rsidRPr="00B678C4">
        <w:rPr>
          <w:rFonts w:ascii="Times New Roman" w:eastAsia="Arial" w:hAnsi="Times New Roman" w:cs="Times New Roman"/>
        </w:rPr>
        <w:t xml:space="preserve">determinar o nível do déficit de força entre membros inferiores, e verificar o efeito de dois protocolos de treino no </w:t>
      </w:r>
      <w:proofErr w:type="spellStart"/>
      <w:r w:rsidRPr="00B678C4">
        <w:rPr>
          <w:rFonts w:ascii="Times New Roman" w:eastAsia="Arial" w:hAnsi="Times New Roman" w:cs="Times New Roman"/>
        </w:rPr>
        <w:t>leg</w:t>
      </w:r>
      <w:proofErr w:type="spellEnd"/>
      <w:r w:rsidRPr="00B678C4">
        <w:rPr>
          <w:rFonts w:ascii="Times New Roman" w:eastAsia="Arial" w:hAnsi="Times New Roman" w:cs="Times New Roman"/>
        </w:rPr>
        <w:t xml:space="preserve"> </w:t>
      </w:r>
      <w:proofErr w:type="spellStart"/>
      <w:r w:rsidRPr="00B678C4">
        <w:rPr>
          <w:rFonts w:ascii="Times New Roman" w:eastAsia="Arial" w:hAnsi="Times New Roman" w:cs="Times New Roman"/>
        </w:rPr>
        <w:t>press</w:t>
      </w:r>
      <w:proofErr w:type="spellEnd"/>
      <w:r w:rsidRPr="00B678C4">
        <w:rPr>
          <w:rFonts w:ascii="Times New Roman" w:eastAsia="Arial" w:hAnsi="Times New Roman" w:cs="Times New Roman"/>
        </w:rPr>
        <w:t xml:space="preserve"> 45º, bilateralmente e unilateralmente, na redução do déficit de força. Foram feitos teste</w:t>
      </w:r>
      <w:r w:rsidR="00D80A3A">
        <w:rPr>
          <w:rFonts w:ascii="Times New Roman" w:eastAsia="Arial" w:hAnsi="Times New Roman" w:cs="Times New Roman"/>
        </w:rPr>
        <w:t>s</w:t>
      </w:r>
      <w:r w:rsidRPr="00B678C4">
        <w:rPr>
          <w:rFonts w:ascii="Times New Roman" w:eastAsia="Arial" w:hAnsi="Times New Roman" w:cs="Times New Roman"/>
        </w:rPr>
        <w:t xml:space="preserve"> de 1RM e</w:t>
      </w:r>
      <w:r w:rsidR="00D80A3A">
        <w:rPr>
          <w:rFonts w:ascii="Times New Roman" w:eastAsia="Arial" w:hAnsi="Times New Roman" w:cs="Times New Roman"/>
        </w:rPr>
        <w:t xml:space="preserve"> </w:t>
      </w:r>
      <w:r w:rsidRPr="00B678C4">
        <w:rPr>
          <w:rFonts w:ascii="Times New Roman" w:eastAsia="Arial" w:hAnsi="Times New Roman" w:cs="Times New Roman"/>
        </w:rPr>
        <w:t>de repetições máximas. Participaram 6 homens jovens e adultos</w:t>
      </w:r>
      <w:r w:rsidR="004C4108">
        <w:rPr>
          <w:rFonts w:ascii="Times New Roman" w:eastAsia="Arial" w:hAnsi="Times New Roman" w:cs="Times New Roman"/>
        </w:rPr>
        <w:t xml:space="preserve"> experientes</w:t>
      </w:r>
      <w:r w:rsidRPr="00B678C4">
        <w:rPr>
          <w:rFonts w:ascii="Times New Roman" w:eastAsia="Arial" w:hAnsi="Times New Roman" w:cs="Times New Roman"/>
        </w:rPr>
        <w:t>.</w:t>
      </w:r>
      <w:r w:rsidR="00D80A3A">
        <w:rPr>
          <w:rFonts w:ascii="Times New Roman" w:hAnsi="Times New Roman" w:cs="Times New Roman"/>
        </w:rPr>
        <w:t xml:space="preserve"> </w:t>
      </w:r>
      <w:r w:rsidRPr="00B678C4">
        <w:rPr>
          <w:rFonts w:ascii="Times New Roman" w:hAnsi="Times New Roman" w:cs="Times New Roman"/>
        </w:rPr>
        <w:t xml:space="preserve">Não houve diferença estatística no </w:t>
      </w:r>
      <w:proofErr w:type="spellStart"/>
      <w:r w:rsidRPr="00B678C4">
        <w:rPr>
          <w:rFonts w:ascii="Times New Roman" w:hAnsi="Times New Roman" w:cs="Times New Roman"/>
        </w:rPr>
        <w:t>pré</w:t>
      </w:r>
      <w:proofErr w:type="spellEnd"/>
      <w:r w:rsidRPr="00B678C4">
        <w:rPr>
          <w:rFonts w:ascii="Times New Roman" w:hAnsi="Times New Roman" w:cs="Times New Roman"/>
        </w:rPr>
        <w:t xml:space="preserve">- e pós-teste entre os grupos (p&gt;0.05). Ambos mostraram que não houve diferença estatística entre as pernas direita e esquerda após a intervenção. </w:t>
      </w:r>
      <w:r w:rsidR="00D80A3A">
        <w:rPr>
          <w:rFonts w:ascii="Times New Roman" w:hAnsi="Times New Roman" w:cs="Times New Roman"/>
        </w:rPr>
        <w:t>O</w:t>
      </w:r>
      <w:r w:rsidRPr="00B678C4">
        <w:rPr>
          <w:rFonts w:ascii="Times New Roman" w:hAnsi="Times New Roman" w:cs="Times New Roman"/>
        </w:rPr>
        <w:t xml:space="preserve"> treinamento bilateral teve uma </w:t>
      </w:r>
      <w:proofErr w:type="gramStart"/>
      <w:r w:rsidRPr="00B678C4">
        <w:rPr>
          <w:rFonts w:ascii="Times New Roman" w:hAnsi="Times New Roman" w:cs="Times New Roman"/>
        </w:rPr>
        <w:t>melhor</w:t>
      </w:r>
      <w:proofErr w:type="gramEnd"/>
      <w:r w:rsidRPr="00B678C4">
        <w:rPr>
          <w:rFonts w:ascii="Times New Roman" w:hAnsi="Times New Roman" w:cs="Times New Roman"/>
        </w:rPr>
        <w:t xml:space="preserve"> reposta na melhora do déficit quando foi observado o tamanho de efeito.</w:t>
      </w:r>
    </w:p>
    <w:p w14:paraId="0954B8C5" w14:textId="77777777" w:rsidR="007104CC" w:rsidRPr="009E38EE" w:rsidRDefault="007104CC" w:rsidP="006D3F8B">
      <w:pPr>
        <w:spacing w:line="360" w:lineRule="auto"/>
        <w:jc w:val="both"/>
        <w:rPr>
          <w:rFonts w:ascii="Times New Roman" w:hAnsi="Times New Roman" w:cs="Times New Roman"/>
        </w:rPr>
      </w:pPr>
    </w:p>
    <w:p w14:paraId="1241176A" w14:textId="63D7254C" w:rsidR="007104CC" w:rsidRDefault="0041227D" w:rsidP="006D3F8B">
      <w:pPr>
        <w:pStyle w:val="Legenda"/>
        <w:spacing w:line="360" w:lineRule="auto"/>
        <w:rPr>
          <w:sz w:val="24"/>
          <w:szCs w:val="24"/>
        </w:rPr>
      </w:pPr>
      <w:r w:rsidRPr="009E38EE">
        <w:rPr>
          <w:sz w:val="24"/>
          <w:szCs w:val="24"/>
        </w:rPr>
        <w:t>INTRODUÇÃO</w:t>
      </w:r>
    </w:p>
    <w:p w14:paraId="41CF725E" w14:textId="6C1E3E74" w:rsidR="007104CC" w:rsidRPr="008E560E" w:rsidRDefault="00D80A3A" w:rsidP="000B6757">
      <w:pPr>
        <w:spacing w:line="360" w:lineRule="auto"/>
        <w:rPr>
          <w:rFonts w:ascii="Times New Roman" w:eastAsia="Arial" w:hAnsi="Times New Roman" w:cs="Times New Roman"/>
        </w:rPr>
      </w:pPr>
      <w:r w:rsidRPr="0041227D">
        <w:rPr>
          <w:rFonts w:ascii="Times New Roman" w:eastAsia="Arial" w:hAnsi="Times New Roman" w:cs="Times New Roman"/>
        </w:rPr>
        <w:t xml:space="preserve">O treinamento resistido (TR), tornou-se uma das formas mais populares de exercício para melhorar a aptidão física e para o condicionamento de atletas. Esse tipo de treinamento tem como característica utilizar a força corporal para vencer uma força ou resistência oposta (Kramer e </w:t>
      </w:r>
      <w:proofErr w:type="spellStart"/>
      <w:r w:rsidRPr="0041227D">
        <w:rPr>
          <w:rFonts w:ascii="Times New Roman" w:eastAsia="Arial" w:hAnsi="Times New Roman" w:cs="Times New Roman"/>
        </w:rPr>
        <w:t>Kraemer</w:t>
      </w:r>
      <w:proofErr w:type="spellEnd"/>
      <w:r w:rsidRPr="0041227D">
        <w:rPr>
          <w:rFonts w:ascii="Times New Roman" w:eastAsia="Arial" w:hAnsi="Times New Roman" w:cs="Times New Roman"/>
        </w:rPr>
        <w:t>, 2017, p.17).</w:t>
      </w:r>
      <w:r w:rsidR="000B6757">
        <w:rPr>
          <w:rFonts w:ascii="Times New Roman" w:eastAsia="Arial" w:hAnsi="Times New Roman" w:cs="Times New Roman"/>
        </w:rPr>
        <w:t xml:space="preserve"> </w:t>
      </w:r>
      <w:r w:rsidRPr="0041227D">
        <w:rPr>
          <w:rFonts w:ascii="Times New Roman" w:hAnsi="Times New Roman" w:cs="Times New Roman"/>
        </w:rPr>
        <w:t xml:space="preserve">Quando se pensa em treinamento de força, um exercício muito utilizado é o </w:t>
      </w:r>
      <w:proofErr w:type="spellStart"/>
      <w:r w:rsidRPr="0041227D">
        <w:rPr>
          <w:rFonts w:ascii="Times New Roman" w:hAnsi="Times New Roman" w:cs="Times New Roman"/>
        </w:rPr>
        <w:t>leg</w:t>
      </w:r>
      <w:proofErr w:type="spellEnd"/>
      <w:r w:rsidRPr="0041227D">
        <w:rPr>
          <w:rFonts w:ascii="Times New Roman" w:hAnsi="Times New Roman" w:cs="Times New Roman"/>
        </w:rPr>
        <w:t xml:space="preserve"> </w:t>
      </w:r>
      <w:proofErr w:type="spellStart"/>
      <w:r w:rsidRPr="0041227D">
        <w:rPr>
          <w:rFonts w:ascii="Times New Roman" w:hAnsi="Times New Roman" w:cs="Times New Roman"/>
        </w:rPr>
        <w:t>press</w:t>
      </w:r>
      <w:proofErr w:type="spellEnd"/>
      <w:r w:rsidRPr="0041227D">
        <w:rPr>
          <w:rFonts w:ascii="Times New Roman" w:hAnsi="Times New Roman" w:cs="Times New Roman"/>
        </w:rPr>
        <w:t xml:space="preserve"> 45º, no qual é treinado convencionalmente de forma bilateral.  Mas quando é realizado de forma unilateral, é notado uma queda de rendimento. Uma vez que se espera conseguir levantar metade do peso, de forma unilateral, quando se tem como base a carga utilizada de forma bilateral.</w:t>
      </w:r>
      <w:r w:rsidR="000B6757">
        <w:rPr>
          <w:rFonts w:ascii="Times New Roman" w:hAnsi="Times New Roman" w:cs="Times New Roman"/>
        </w:rPr>
        <w:t xml:space="preserve"> </w:t>
      </w:r>
      <w:r w:rsidRPr="0041227D">
        <w:rPr>
          <w:rFonts w:ascii="Times New Roman" w:eastAsia="Arial" w:hAnsi="Times New Roman" w:cs="Times New Roman"/>
        </w:rPr>
        <w:t xml:space="preserve">Partindo da construção desse contexto, foi pensando na possibilidade de em um exercício bilateral, como no </w:t>
      </w:r>
      <w:proofErr w:type="spellStart"/>
      <w:r w:rsidRPr="0041227D">
        <w:rPr>
          <w:rFonts w:ascii="Times New Roman" w:eastAsia="Arial" w:hAnsi="Times New Roman" w:cs="Times New Roman"/>
        </w:rPr>
        <w:t>leg</w:t>
      </w:r>
      <w:proofErr w:type="spellEnd"/>
      <w:r w:rsidRPr="0041227D">
        <w:rPr>
          <w:rFonts w:ascii="Times New Roman" w:eastAsia="Arial" w:hAnsi="Times New Roman" w:cs="Times New Roman"/>
        </w:rPr>
        <w:t xml:space="preserve"> </w:t>
      </w:r>
      <w:proofErr w:type="spellStart"/>
      <w:r w:rsidRPr="0041227D">
        <w:rPr>
          <w:rFonts w:ascii="Times New Roman" w:eastAsia="Arial" w:hAnsi="Times New Roman" w:cs="Times New Roman"/>
        </w:rPr>
        <w:t>press</w:t>
      </w:r>
      <w:proofErr w:type="spellEnd"/>
      <w:r w:rsidRPr="0041227D">
        <w:rPr>
          <w:rFonts w:ascii="Times New Roman" w:eastAsia="Arial" w:hAnsi="Times New Roman" w:cs="Times New Roman"/>
        </w:rPr>
        <w:t xml:space="preserve"> 45º, um membro está realizando maior esforço em relação ao outro, devido a um possível déficit de força.</w:t>
      </w:r>
      <w:r w:rsidR="000B6757">
        <w:rPr>
          <w:rFonts w:ascii="Times New Roman" w:hAnsi="Times New Roman" w:cs="Times New Roman"/>
        </w:rPr>
        <w:t xml:space="preserve"> </w:t>
      </w:r>
      <w:r w:rsidRPr="0041227D">
        <w:rPr>
          <w:rFonts w:ascii="Times New Roman" w:eastAsia="Arial" w:hAnsi="Times New Roman" w:cs="Times New Roman"/>
        </w:rPr>
        <w:t xml:space="preserve">O objetivo desse estudo foi determinar o nível do déficit de força entre membros inferiores, e verificar o efeito de dois protocolos de treino no </w:t>
      </w:r>
      <w:proofErr w:type="spellStart"/>
      <w:r w:rsidRPr="0041227D">
        <w:rPr>
          <w:rFonts w:ascii="Times New Roman" w:eastAsia="Arial" w:hAnsi="Times New Roman" w:cs="Times New Roman"/>
        </w:rPr>
        <w:t>leg</w:t>
      </w:r>
      <w:proofErr w:type="spellEnd"/>
      <w:r w:rsidRPr="0041227D">
        <w:rPr>
          <w:rFonts w:ascii="Times New Roman" w:eastAsia="Arial" w:hAnsi="Times New Roman" w:cs="Times New Roman"/>
        </w:rPr>
        <w:t xml:space="preserve"> </w:t>
      </w:r>
      <w:proofErr w:type="spellStart"/>
      <w:r w:rsidRPr="0041227D">
        <w:rPr>
          <w:rFonts w:ascii="Times New Roman" w:eastAsia="Arial" w:hAnsi="Times New Roman" w:cs="Times New Roman"/>
        </w:rPr>
        <w:t>press</w:t>
      </w:r>
      <w:proofErr w:type="spellEnd"/>
      <w:r w:rsidRPr="0041227D">
        <w:rPr>
          <w:rFonts w:ascii="Times New Roman" w:eastAsia="Arial" w:hAnsi="Times New Roman" w:cs="Times New Roman"/>
        </w:rPr>
        <w:t xml:space="preserve"> 45º, bilateral </w:t>
      </w:r>
      <w:r w:rsidR="000122B8">
        <w:rPr>
          <w:rFonts w:ascii="Times New Roman" w:eastAsia="Arial" w:hAnsi="Times New Roman" w:cs="Times New Roman"/>
        </w:rPr>
        <w:t xml:space="preserve">e </w:t>
      </w:r>
      <w:r w:rsidRPr="0041227D">
        <w:rPr>
          <w:rFonts w:ascii="Times New Roman" w:eastAsia="Arial" w:hAnsi="Times New Roman" w:cs="Times New Roman"/>
        </w:rPr>
        <w:t xml:space="preserve">unilateral, na redução do déficit de força entre membros. </w:t>
      </w:r>
    </w:p>
    <w:p w14:paraId="34359CA9" w14:textId="77777777" w:rsidR="000B6757" w:rsidRDefault="000B6757" w:rsidP="00D80A3A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1D6CF3B" w14:textId="00F78F00" w:rsidR="007104CC" w:rsidRPr="009E38EE" w:rsidRDefault="000B6757" w:rsidP="00D80A3A">
      <w:pPr>
        <w:spacing w:line="360" w:lineRule="auto"/>
        <w:rPr>
          <w:rFonts w:ascii="Times New Roman" w:hAnsi="Times New Roman" w:cs="Times New Roman"/>
          <w:b/>
        </w:rPr>
      </w:pPr>
      <w:r w:rsidRPr="009E38EE">
        <w:rPr>
          <w:rFonts w:ascii="Times New Roman" w:hAnsi="Times New Roman" w:cs="Times New Roman"/>
          <w:b/>
          <w:bCs/>
        </w:rPr>
        <w:t>PALAVRAS-CHAVE</w:t>
      </w:r>
      <w:r w:rsidR="007104CC" w:rsidRPr="009E38EE">
        <w:rPr>
          <w:rFonts w:ascii="Times New Roman" w:hAnsi="Times New Roman" w:cs="Times New Roman"/>
          <w:b/>
          <w:bCs/>
        </w:rPr>
        <w:t>:</w:t>
      </w:r>
      <w:r w:rsidR="007104CC" w:rsidRPr="009E38EE">
        <w:rPr>
          <w:rFonts w:ascii="Times New Roman" w:hAnsi="Times New Roman" w:cs="Times New Roman"/>
        </w:rPr>
        <w:t xml:space="preserve"> </w:t>
      </w:r>
      <w:r w:rsidR="00D80A3A" w:rsidRPr="00D80A3A">
        <w:rPr>
          <w:rFonts w:ascii="Times New Roman" w:eastAsia="Arial" w:hAnsi="Times New Roman" w:cs="Times New Roman"/>
        </w:rPr>
        <w:t>Treinamento resistido</w:t>
      </w:r>
      <w:r w:rsidR="00D80A3A">
        <w:rPr>
          <w:rFonts w:ascii="Times New Roman" w:eastAsia="Arial" w:hAnsi="Times New Roman" w:cs="Times New Roman"/>
        </w:rPr>
        <w:t>;</w:t>
      </w:r>
      <w:r w:rsidR="00D80A3A" w:rsidRPr="00D80A3A">
        <w:rPr>
          <w:rFonts w:ascii="Times New Roman" w:eastAsia="Arial" w:hAnsi="Times New Roman" w:cs="Times New Roman"/>
        </w:rPr>
        <w:t xml:space="preserve"> déficit de força</w:t>
      </w:r>
      <w:r w:rsidR="00D80A3A">
        <w:rPr>
          <w:rFonts w:ascii="Times New Roman" w:eastAsia="Arial" w:hAnsi="Times New Roman" w:cs="Times New Roman"/>
        </w:rPr>
        <w:t>;</w:t>
      </w:r>
      <w:r w:rsidR="00D80A3A" w:rsidRPr="00D80A3A">
        <w:rPr>
          <w:rFonts w:ascii="Times New Roman" w:eastAsia="Arial" w:hAnsi="Times New Roman" w:cs="Times New Roman"/>
        </w:rPr>
        <w:t xml:space="preserve"> </w:t>
      </w:r>
      <w:proofErr w:type="spellStart"/>
      <w:r w:rsidR="00D80A3A" w:rsidRPr="00D80A3A">
        <w:rPr>
          <w:rFonts w:ascii="Times New Roman" w:eastAsia="Arial" w:hAnsi="Times New Roman" w:cs="Times New Roman"/>
        </w:rPr>
        <w:t>leg</w:t>
      </w:r>
      <w:proofErr w:type="spellEnd"/>
      <w:r w:rsidR="00D80A3A" w:rsidRPr="00D80A3A">
        <w:rPr>
          <w:rFonts w:ascii="Times New Roman" w:eastAsia="Arial" w:hAnsi="Times New Roman" w:cs="Times New Roman"/>
        </w:rPr>
        <w:t xml:space="preserve"> </w:t>
      </w:r>
      <w:proofErr w:type="spellStart"/>
      <w:r w:rsidR="00D80A3A" w:rsidRPr="00D80A3A">
        <w:rPr>
          <w:rFonts w:ascii="Times New Roman" w:eastAsia="Arial" w:hAnsi="Times New Roman" w:cs="Times New Roman"/>
        </w:rPr>
        <w:t>press</w:t>
      </w:r>
      <w:proofErr w:type="spellEnd"/>
      <w:r w:rsidR="00D80A3A" w:rsidRPr="00D80A3A">
        <w:rPr>
          <w:rFonts w:ascii="Times New Roman" w:eastAsia="Arial" w:hAnsi="Times New Roman" w:cs="Times New Roman"/>
        </w:rPr>
        <w:t xml:space="preserve"> 45º</w:t>
      </w:r>
      <w:r w:rsidR="00D80A3A">
        <w:rPr>
          <w:rFonts w:ascii="Times New Roman" w:eastAsia="Arial" w:hAnsi="Times New Roman" w:cs="Times New Roman"/>
        </w:rPr>
        <w:t>.</w:t>
      </w:r>
    </w:p>
    <w:p w14:paraId="2DCCA27C" w14:textId="77777777" w:rsidR="000B6757" w:rsidRDefault="000B6757" w:rsidP="000B675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F3041A1" w14:textId="39528532" w:rsidR="000B6757" w:rsidRDefault="000B6757" w:rsidP="000B6757">
      <w:pPr>
        <w:spacing w:line="360" w:lineRule="auto"/>
        <w:rPr>
          <w:rFonts w:ascii="Times New Roman" w:hAnsi="Times New Roman" w:cs="Times New Roman"/>
          <w:b/>
          <w:bCs/>
        </w:rPr>
      </w:pPr>
      <w:r w:rsidRPr="009E38EE">
        <w:rPr>
          <w:rFonts w:ascii="Times New Roman" w:hAnsi="Times New Roman" w:cs="Times New Roman"/>
          <w:b/>
          <w:bCs/>
        </w:rPr>
        <w:t>MÉTODOS</w:t>
      </w:r>
    </w:p>
    <w:p w14:paraId="34B7B599" w14:textId="5E48180B" w:rsidR="008E560E" w:rsidRDefault="0041227D" w:rsidP="000B6757">
      <w:pPr>
        <w:spacing w:line="360" w:lineRule="auto"/>
        <w:rPr>
          <w:rFonts w:ascii="Times New Roman" w:hAnsi="Times New Roman" w:cs="Times New Roman"/>
          <w:b/>
          <w:bCs/>
        </w:rPr>
      </w:pPr>
      <w:r w:rsidRPr="000B6757">
        <w:rPr>
          <w:rFonts w:ascii="Times New Roman" w:hAnsi="Times New Roman" w:cs="Times New Roman"/>
        </w:rPr>
        <w:t>Para determinar um possível déficit de força, primeiro foi realizado um teste de força máxima (1RM) de forma bilateral, para assim calcular a carga utilizada no teste de repetições máximas de forma unilateral,</w:t>
      </w:r>
      <w:r w:rsidR="000122B8">
        <w:rPr>
          <w:rFonts w:ascii="Times New Roman" w:hAnsi="Times New Roman" w:cs="Times New Roman"/>
        </w:rPr>
        <w:t xml:space="preserve"> e assim</w:t>
      </w:r>
      <w:r w:rsidRPr="000B6757">
        <w:rPr>
          <w:rFonts w:ascii="Times New Roman" w:hAnsi="Times New Roman" w:cs="Times New Roman"/>
        </w:rPr>
        <w:t xml:space="preserve">, determinar essa relação de déficit de força ao comparar o número de repetições </w:t>
      </w:r>
      <w:r w:rsidR="000122B8">
        <w:rPr>
          <w:rFonts w:ascii="Times New Roman" w:hAnsi="Times New Roman" w:cs="Times New Roman"/>
        </w:rPr>
        <w:t>entre membros</w:t>
      </w:r>
      <w:r w:rsidRPr="000B6757">
        <w:rPr>
          <w:rFonts w:ascii="Times New Roman" w:hAnsi="Times New Roman" w:cs="Times New Roman"/>
        </w:rPr>
        <w:t>. Os participantes foram divididos em dois grupos de forma aleatória, onde um grupo treinou de forma bilateral (TB) com 80% de 1RM, o outro</w:t>
      </w:r>
      <w:r w:rsidR="000122B8">
        <w:rPr>
          <w:rFonts w:ascii="Times New Roman" w:hAnsi="Times New Roman" w:cs="Times New Roman"/>
        </w:rPr>
        <w:t xml:space="preserve"> </w:t>
      </w:r>
      <w:r w:rsidRPr="000B6757">
        <w:rPr>
          <w:rFonts w:ascii="Times New Roman" w:hAnsi="Times New Roman" w:cs="Times New Roman"/>
        </w:rPr>
        <w:t xml:space="preserve">de forma unilateral (TU) com 40% da 1RM. </w:t>
      </w:r>
      <w:r w:rsidR="00582B55">
        <w:rPr>
          <w:rFonts w:ascii="Times New Roman" w:hAnsi="Times New Roman" w:cs="Times New Roman"/>
        </w:rPr>
        <w:t>Treinaram</w:t>
      </w:r>
      <w:r w:rsidRPr="000B6757">
        <w:rPr>
          <w:rFonts w:ascii="Times New Roman" w:hAnsi="Times New Roman" w:cs="Times New Roman"/>
        </w:rPr>
        <w:t xml:space="preserve"> 2 vezes na semana, realizando 3 séries até a falha concêntrica, durante 4 semanas.</w:t>
      </w:r>
      <w:r w:rsidR="00321E05">
        <w:rPr>
          <w:rFonts w:ascii="Times New Roman" w:hAnsi="Times New Roman" w:cs="Times New Roman"/>
          <w:b/>
          <w:bCs/>
        </w:rPr>
        <w:t xml:space="preserve"> </w:t>
      </w:r>
      <w:r w:rsidRPr="000B6757">
        <w:rPr>
          <w:rFonts w:ascii="Times New Roman" w:hAnsi="Times New Roman" w:cs="Times New Roman"/>
        </w:rPr>
        <w:t>Seis homens jovens saudáveis participaram do estudo de forma voluntária</w:t>
      </w:r>
      <w:r w:rsidR="004C4108">
        <w:rPr>
          <w:rFonts w:ascii="Times New Roman" w:hAnsi="Times New Roman" w:cs="Times New Roman"/>
        </w:rPr>
        <w:t>, c</w:t>
      </w:r>
      <w:r w:rsidR="000122B8">
        <w:rPr>
          <w:rFonts w:ascii="Times New Roman" w:hAnsi="Times New Roman" w:cs="Times New Roman"/>
        </w:rPr>
        <w:t xml:space="preserve">om </w:t>
      </w:r>
      <w:r w:rsidRPr="000B6757">
        <w:rPr>
          <w:rFonts w:ascii="Times New Roman" w:hAnsi="Times New Roman" w:cs="Times New Roman"/>
        </w:rPr>
        <w:t>pelo menos 1 ano de experiência</w:t>
      </w:r>
      <w:r w:rsidRPr="000B6757">
        <w:rPr>
          <w:rFonts w:ascii="Times New Roman" w:hAnsi="Times New Roman" w:cs="Times New Roman"/>
          <w:b/>
        </w:rPr>
        <w:t xml:space="preserve"> </w:t>
      </w:r>
      <w:r w:rsidRPr="000B6757">
        <w:rPr>
          <w:rFonts w:ascii="Times New Roman" w:hAnsi="Times New Roman" w:cs="Times New Roman"/>
        </w:rPr>
        <w:t xml:space="preserve">e familiaridade no </w:t>
      </w:r>
      <w:proofErr w:type="spellStart"/>
      <w:r w:rsidRPr="000B6757">
        <w:rPr>
          <w:rFonts w:ascii="Times New Roman" w:hAnsi="Times New Roman" w:cs="Times New Roman"/>
        </w:rPr>
        <w:t>leg</w:t>
      </w:r>
      <w:proofErr w:type="spellEnd"/>
      <w:r w:rsidRPr="000B6757">
        <w:rPr>
          <w:rFonts w:ascii="Times New Roman" w:hAnsi="Times New Roman" w:cs="Times New Roman"/>
        </w:rPr>
        <w:t xml:space="preserve"> </w:t>
      </w:r>
      <w:proofErr w:type="spellStart"/>
      <w:r w:rsidRPr="000B6757">
        <w:rPr>
          <w:rFonts w:ascii="Times New Roman" w:hAnsi="Times New Roman" w:cs="Times New Roman"/>
        </w:rPr>
        <w:t>press</w:t>
      </w:r>
      <w:proofErr w:type="spellEnd"/>
      <w:r w:rsidRPr="000B6757">
        <w:rPr>
          <w:rFonts w:ascii="Times New Roman" w:hAnsi="Times New Roman" w:cs="Times New Roman"/>
        </w:rPr>
        <w:t xml:space="preserve"> 45º. O teste de 1RM foi realizado com base nas recomendações do American</w:t>
      </w:r>
      <w:r w:rsidRPr="000B6757">
        <w:rPr>
          <w:rFonts w:ascii="Times New Roman" w:hAnsi="Times New Roman" w:cs="Times New Roman"/>
          <w:color w:val="000000"/>
        </w:rPr>
        <w:t xml:space="preserve"> Society </w:t>
      </w:r>
      <w:proofErr w:type="spellStart"/>
      <w:r w:rsidRPr="000B6757">
        <w:rPr>
          <w:rFonts w:ascii="Times New Roman" w:hAnsi="Times New Roman" w:cs="Times New Roman"/>
          <w:color w:val="000000"/>
        </w:rPr>
        <w:t>of</w:t>
      </w:r>
      <w:proofErr w:type="spellEnd"/>
      <w:r w:rsidRPr="000B675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B6757">
        <w:rPr>
          <w:rFonts w:ascii="Times New Roman" w:hAnsi="Times New Roman" w:cs="Times New Roman"/>
          <w:color w:val="000000"/>
        </w:rPr>
        <w:t>Exercise</w:t>
      </w:r>
      <w:proofErr w:type="spellEnd"/>
      <w:r w:rsidRPr="000B675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B6757">
        <w:rPr>
          <w:rFonts w:ascii="Times New Roman" w:hAnsi="Times New Roman" w:cs="Times New Roman"/>
          <w:color w:val="000000"/>
        </w:rPr>
        <w:t>Physiologists</w:t>
      </w:r>
      <w:proofErr w:type="spellEnd"/>
      <w:r w:rsidRPr="000B6757">
        <w:rPr>
          <w:rFonts w:ascii="Times New Roman" w:hAnsi="Times New Roman" w:cs="Times New Roman"/>
          <w:color w:val="000000"/>
        </w:rPr>
        <w:t xml:space="preserve"> (Brown, Weir, </w:t>
      </w:r>
      <w:r w:rsidRPr="000B6757">
        <w:rPr>
          <w:rFonts w:ascii="Times New Roman" w:hAnsi="Times New Roman" w:cs="Times New Roman"/>
          <w:color w:val="000000" w:themeColor="text1"/>
        </w:rPr>
        <w:t>2001</w:t>
      </w:r>
      <w:r w:rsidRPr="000B6757">
        <w:rPr>
          <w:rFonts w:ascii="Times New Roman" w:hAnsi="Times New Roman" w:cs="Times New Roman"/>
          <w:color w:val="000000"/>
        </w:rPr>
        <w:t xml:space="preserve">). </w:t>
      </w:r>
      <w:r w:rsidRPr="000B6757">
        <w:rPr>
          <w:rFonts w:ascii="Times New Roman" w:hAnsi="Times New Roman" w:cs="Times New Roman"/>
        </w:rPr>
        <w:t>O Teste de repetições máximas foi realizado com base no protocolo de Marchetti (2009).</w:t>
      </w:r>
      <w:r w:rsidRPr="000B6757">
        <w:rPr>
          <w:rFonts w:ascii="Times New Roman" w:hAnsi="Times New Roman" w:cs="Times New Roman"/>
          <w:b/>
        </w:rPr>
        <w:t xml:space="preserve"> </w:t>
      </w:r>
    </w:p>
    <w:p w14:paraId="7010C20E" w14:textId="77777777" w:rsidR="000122B8" w:rsidRPr="000122B8" w:rsidRDefault="000122B8" w:rsidP="000B675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A82A933" w14:textId="5D94790A" w:rsidR="0041227D" w:rsidRPr="005A0FAF" w:rsidRDefault="0041227D" w:rsidP="000B6757">
      <w:pPr>
        <w:spacing w:line="360" w:lineRule="auto"/>
        <w:rPr>
          <w:rFonts w:ascii="Arial" w:hAnsi="Arial" w:cs="Arial"/>
        </w:rPr>
      </w:pPr>
      <w:r w:rsidRPr="000B6757">
        <w:rPr>
          <w:rFonts w:ascii="Times New Roman" w:hAnsi="Times New Roman" w:cs="Times New Roman"/>
        </w:rPr>
        <w:t xml:space="preserve">Para análise e exposição dos dados, utilizou-se de média e desvio padrão. Para testar a normalidade dos dados, foi realizado o teste de Shapiro-Wilk e </w:t>
      </w:r>
      <w:proofErr w:type="spellStart"/>
      <w:r w:rsidRPr="000B6757">
        <w:rPr>
          <w:rFonts w:ascii="Times New Roman" w:hAnsi="Times New Roman" w:cs="Times New Roman"/>
        </w:rPr>
        <w:t>Kolmogorov-Sminorv</w:t>
      </w:r>
      <w:proofErr w:type="spellEnd"/>
      <w:r w:rsidRPr="000B6757">
        <w:rPr>
          <w:rFonts w:ascii="Times New Roman" w:hAnsi="Times New Roman" w:cs="Times New Roman"/>
        </w:rPr>
        <w:t xml:space="preserve">, respectivamente. Para o tamanho de efeito, foi realizado o delta de </w:t>
      </w:r>
      <w:proofErr w:type="spellStart"/>
      <w:r w:rsidRPr="000B6757">
        <w:rPr>
          <w:rFonts w:ascii="Times New Roman" w:hAnsi="Times New Roman" w:cs="Times New Roman"/>
        </w:rPr>
        <w:t>glass</w:t>
      </w:r>
      <w:proofErr w:type="spellEnd"/>
      <w:r w:rsidRPr="000B6757">
        <w:rPr>
          <w:rFonts w:ascii="Times New Roman" w:hAnsi="Times New Roman" w:cs="Times New Roman"/>
        </w:rPr>
        <w:t xml:space="preserve">. O intervalo de confiança adotado nos grupos foi de 95% (p&lt;0,05). Para analisar a correlação dos dados foi utilizado o teste de Pearson. Os softwares utilizados foram o SPSS 21.0 e o Microsoft Excel 2016 MSO 32 bits.  </w:t>
      </w:r>
    </w:p>
    <w:p w14:paraId="6BDE2ECB" w14:textId="77777777" w:rsidR="007104CC" w:rsidRPr="009E38EE" w:rsidRDefault="007104CC" w:rsidP="006D3F8B">
      <w:pPr>
        <w:spacing w:line="360" w:lineRule="auto"/>
        <w:jc w:val="both"/>
        <w:rPr>
          <w:rFonts w:ascii="Times New Roman" w:hAnsi="Times New Roman" w:cs="Times New Roman"/>
        </w:rPr>
      </w:pPr>
    </w:p>
    <w:p w14:paraId="45B61F8D" w14:textId="15460D00" w:rsidR="007104CC" w:rsidRDefault="000B6757" w:rsidP="006D3F8B">
      <w:pPr>
        <w:spacing w:line="360" w:lineRule="auto"/>
        <w:rPr>
          <w:rFonts w:ascii="Times New Roman" w:hAnsi="Times New Roman" w:cs="Times New Roman"/>
          <w:b/>
          <w:bCs/>
        </w:rPr>
      </w:pPr>
      <w:r w:rsidRPr="009E38EE">
        <w:rPr>
          <w:rFonts w:ascii="Times New Roman" w:hAnsi="Times New Roman" w:cs="Times New Roman"/>
          <w:b/>
          <w:bCs/>
        </w:rPr>
        <w:t>RESULTADOS E DISCUSSÕES</w:t>
      </w:r>
    </w:p>
    <w:p w14:paraId="2EAD3858" w14:textId="77777777" w:rsidR="0041227D" w:rsidRPr="008E560E" w:rsidRDefault="0041227D" w:rsidP="008E560E">
      <w:pPr>
        <w:spacing w:line="360" w:lineRule="auto"/>
        <w:rPr>
          <w:rFonts w:ascii="Times New Roman" w:hAnsi="Times New Roman" w:cs="Times New Roman"/>
        </w:rPr>
      </w:pPr>
      <w:r w:rsidRPr="008E560E">
        <w:rPr>
          <w:rFonts w:ascii="Times New Roman" w:hAnsi="Times New Roman" w:cs="Times New Roman"/>
        </w:rPr>
        <w:t xml:space="preserve">Existe uma diferença significativa entre os membros (p &lt;0.05). O teste de repetições máximas mostrou que existe uma diferença de força quando se comparou o somatório de repetições realizados entre os participantes, no qual a perna esquerda mostrou um maior número de repetições em relação a direita. </w:t>
      </w:r>
    </w:p>
    <w:p w14:paraId="46575658" w14:textId="77777777" w:rsidR="0041227D" w:rsidRPr="005A0FAF" w:rsidRDefault="0041227D" w:rsidP="0041227D">
      <w:pPr>
        <w:jc w:val="both"/>
        <w:rPr>
          <w:rFonts w:ascii="Arial" w:hAnsi="Arial" w:cs="Arial"/>
        </w:rPr>
      </w:pPr>
    </w:p>
    <w:p w14:paraId="1F9847A9" w14:textId="77777777" w:rsidR="0041227D" w:rsidRPr="008E560E" w:rsidRDefault="0041227D" w:rsidP="008E560E">
      <w:pPr>
        <w:jc w:val="center"/>
        <w:rPr>
          <w:rFonts w:ascii="Times New Roman" w:hAnsi="Times New Roman" w:cs="Times New Roman"/>
          <w:sz w:val="18"/>
          <w:szCs w:val="18"/>
        </w:rPr>
      </w:pPr>
      <w:r w:rsidRPr="008E560E">
        <w:rPr>
          <w:rFonts w:ascii="Times New Roman" w:hAnsi="Times New Roman" w:cs="Times New Roman"/>
          <w:b/>
          <w:sz w:val="18"/>
          <w:szCs w:val="18"/>
        </w:rPr>
        <w:t>Figura 1:</w:t>
      </w:r>
      <w:r w:rsidRPr="008E560E">
        <w:rPr>
          <w:rFonts w:ascii="Times New Roman" w:hAnsi="Times New Roman" w:cs="Times New Roman"/>
          <w:sz w:val="18"/>
          <w:szCs w:val="18"/>
        </w:rPr>
        <w:t xml:space="preserve"> Comparação do número de repetições entre a perna direita e esquerda no teste de repetições máximas</w:t>
      </w:r>
    </w:p>
    <w:p w14:paraId="3001E222" w14:textId="77777777" w:rsidR="0041227D" w:rsidRPr="005A0FAF" w:rsidRDefault="0041227D" w:rsidP="0041227D">
      <w:pPr>
        <w:jc w:val="both"/>
        <w:rPr>
          <w:rFonts w:ascii="Arial" w:hAnsi="Arial" w:cs="Arial"/>
        </w:rPr>
      </w:pPr>
    </w:p>
    <w:p w14:paraId="534CED9E" w14:textId="77777777" w:rsidR="0041227D" w:rsidRPr="005A0FAF" w:rsidRDefault="0041227D" w:rsidP="0041227D">
      <w:pPr>
        <w:jc w:val="center"/>
        <w:rPr>
          <w:rFonts w:ascii="Arial" w:hAnsi="Arial" w:cs="Arial"/>
        </w:rPr>
      </w:pPr>
      <w:r w:rsidRPr="005A0FAF">
        <w:rPr>
          <w:rFonts w:ascii="Arial" w:hAnsi="Arial" w:cs="Arial"/>
          <w:noProof/>
          <w:lang w:eastAsia="pt-BR"/>
        </w:rPr>
        <w:lastRenderedPageBreak/>
        <w:drawing>
          <wp:inline distT="0" distB="0" distL="0" distR="0" wp14:anchorId="262B05FD" wp14:editId="3EFCEB98">
            <wp:extent cx="3909060" cy="3129844"/>
            <wp:effectExtent l="0" t="0" r="0" b="0"/>
            <wp:docPr id="4" name="Imagem 4" descr="Gráfico de bar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Gráfico de bar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067" cy="314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4BA3D" w14:textId="77777777" w:rsidR="0041227D" w:rsidRPr="005A0FAF" w:rsidRDefault="0041227D" w:rsidP="0041227D">
      <w:pPr>
        <w:jc w:val="both"/>
        <w:rPr>
          <w:rFonts w:ascii="Arial" w:hAnsi="Arial" w:cs="Arial"/>
          <w:i/>
        </w:rPr>
      </w:pPr>
    </w:p>
    <w:p w14:paraId="486BBB27" w14:textId="77777777" w:rsidR="0041227D" w:rsidRPr="008E560E" w:rsidRDefault="0041227D" w:rsidP="008E560E">
      <w:pPr>
        <w:spacing w:line="360" w:lineRule="auto"/>
        <w:rPr>
          <w:rFonts w:ascii="Times New Roman" w:hAnsi="Times New Roman" w:cs="Times New Roman"/>
        </w:rPr>
      </w:pPr>
      <w:r w:rsidRPr="008E560E">
        <w:rPr>
          <w:rFonts w:ascii="Times New Roman" w:hAnsi="Times New Roman" w:cs="Times New Roman"/>
        </w:rPr>
        <w:t xml:space="preserve">Não houve diferença estatística no </w:t>
      </w:r>
      <w:proofErr w:type="spellStart"/>
      <w:r w:rsidRPr="008E560E">
        <w:rPr>
          <w:rFonts w:ascii="Times New Roman" w:hAnsi="Times New Roman" w:cs="Times New Roman"/>
        </w:rPr>
        <w:t>pré</w:t>
      </w:r>
      <w:proofErr w:type="spellEnd"/>
      <w:r w:rsidRPr="008E560E">
        <w:rPr>
          <w:rFonts w:ascii="Times New Roman" w:hAnsi="Times New Roman" w:cs="Times New Roman"/>
        </w:rPr>
        <w:t xml:space="preserve">- e pós-teste entre os grupos (p&gt;0.05). Os grupos bilateral e unilateral mostraram que não houve diferença estatística entre as pernas direita e esquerda após a intervenção de ambos os protocolos.    </w:t>
      </w:r>
    </w:p>
    <w:p w14:paraId="67F7988A" w14:textId="77777777" w:rsidR="0041227D" w:rsidRPr="005A0FAF" w:rsidRDefault="0041227D" w:rsidP="0041227D">
      <w:pPr>
        <w:jc w:val="both"/>
        <w:rPr>
          <w:rFonts w:ascii="Arial" w:hAnsi="Arial" w:cs="Arial"/>
        </w:rPr>
      </w:pPr>
    </w:p>
    <w:p w14:paraId="20A3CA04" w14:textId="77777777" w:rsidR="0041227D" w:rsidRPr="00D22CAB" w:rsidRDefault="0041227D" w:rsidP="00D22CAB">
      <w:pPr>
        <w:jc w:val="center"/>
        <w:rPr>
          <w:rFonts w:ascii="Times New Roman" w:hAnsi="Times New Roman" w:cs="Times New Roman"/>
          <w:sz w:val="18"/>
          <w:szCs w:val="18"/>
        </w:rPr>
      </w:pPr>
      <w:r w:rsidRPr="00D22CAB">
        <w:rPr>
          <w:rFonts w:ascii="Times New Roman" w:hAnsi="Times New Roman" w:cs="Times New Roman"/>
          <w:b/>
          <w:sz w:val="18"/>
          <w:szCs w:val="18"/>
        </w:rPr>
        <w:t>Tabela 2:</w:t>
      </w:r>
      <w:r w:rsidRPr="00D22CAB">
        <w:rPr>
          <w:rFonts w:ascii="Times New Roman" w:hAnsi="Times New Roman" w:cs="Times New Roman"/>
          <w:sz w:val="18"/>
          <w:szCs w:val="18"/>
        </w:rPr>
        <w:t xml:space="preserve"> O efeito do treinamento bilateral e unilateral na melhora do déficit de força</w:t>
      </w:r>
    </w:p>
    <w:tbl>
      <w:tblPr>
        <w:tblStyle w:val="SombreamentoClaro-nfase1"/>
        <w:tblW w:w="3750" w:type="pct"/>
        <w:jc w:val="center"/>
        <w:tblLook w:val="0660" w:firstRow="1" w:lastRow="1" w:firstColumn="0" w:lastColumn="0" w:noHBand="1" w:noVBand="1"/>
      </w:tblPr>
      <w:tblGrid>
        <w:gridCol w:w="2055"/>
        <w:gridCol w:w="2056"/>
        <w:gridCol w:w="2055"/>
      </w:tblGrid>
      <w:tr w:rsidR="0041227D" w:rsidRPr="005A0FAF" w14:paraId="7D04AC41" w14:textId="77777777" w:rsidTr="00087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667" w:type="pct"/>
            <w:tcBorders>
              <w:top w:val="single" w:sz="4" w:space="0" w:color="auto"/>
              <w:bottom w:val="single" w:sz="8" w:space="0" w:color="000000" w:themeColor="text1"/>
            </w:tcBorders>
            <w:noWrap/>
          </w:tcPr>
          <w:p w14:paraId="4689B3CD" w14:textId="77777777" w:rsidR="0041227D" w:rsidRPr="005A0FAF" w:rsidRDefault="0041227D" w:rsidP="00087CC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8" w:space="0" w:color="000000" w:themeColor="text1"/>
            </w:tcBorders>
          </w:tcPr>
          <w:p w14:paraId="2BC389BA" w14:textId="77777777" w:rsidR="0041227D" w:rsidRPr="005A0FAF" w:rsidRDefault="0041227D" w:rsidP="00087CC2">
            <w:pPr>
              <w:jc w:val="both"/>
              <w:rPr>
                <w:rFonts w:ascii="Arial" w:hAnsi="Arial" w:cs="Arial"/>
                <w:b w:val="0"/>
                <w:color w:val="000000" w:themeColor="text1"/>
              </w:rPr>
            </w:pPr>
            <w:r w:rsidRPr="005A0FAF">
              <w:rPr>
                <w:rFonts w:ascii="Arial" w:hAnsi="Arial" w:cs="Arial"/>
                <w:b w:val="0"/>
                <w:color w:val="000000" w:themeColor="text1"/>
              </w:rPr>
              <w:t xml:space="preserve">      PD</w:t>
            </w:r>
          </w:p>
          <w:p w14:paraId="07877EA3" w14:textId="77777777" w:rsidR="0041227D" w:rsidRPr="005A0FAF" w:rsidRDefault="0041227D" w:rsidP="00087CC2">
            <w:pPr>
              <w:jc w:val="both"/>
              <w:rPr>
                <w:rFonts w:ascii="Arial" w:hAnsi="Arial" w:cs="Arial"/>
                <w:b w:val="0"/>
                <w:color w:val="000000" w:themeColor="text1"/>
              </w:rPr>
            </w:pPr>
            <w:r w:rsidRPr="005A0FAF">
              <w:rPr>
                <w:rFonts w:ascii="Arial" w:hAnsi="Arial" w:cs="Arial"/>
                <w:b w:val="0"/>
                <w:color w:val="000000" w:themeColor="text1"/>
              </w:rPr>
              <w:t xml:space="preserve">   M±DP                                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8" w:space="0" w:color="000000" w:themeColor="text1"/>
            </w:tcBorders>
          </w:tcPr>
          <w:p w14:paraId="7411F36D" w14:textId="77777777" w:rsidR="0041227D" w:rsidRPr="005A0FAF" w:rsidRDefault="0041227D" w:rsidP="00087CC2">
            <w:pPr>
              <w:pStyle w:val="SemEspaamen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5A0FAF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5A0FA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PE</w:t>
            </w:r>
          </w:p>
          <w:p w14:paraId="6FB48FFC" w14:textId="77777777" w:rsidR="0041227D" w:rsidRPr="005A0FAF" w:rsidRDefault="0041227D" w:rsidP="00087CC2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FA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    M±DP</w:t>
            </w:r>
          </w:p>
        </w:tc>
      </w:tr>
      <w:tr w:rsidR="0041227D" w:rsidRPr="005A0FAF" w14:paraId="7E26E259" w14:textId="77777777" w:rsidTr="00087CC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667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noWrap/>
          </w:tcPr>
          <w:p w14:paraId="3751479A" w14:textId="77777777" w:rsidR="0041227D" w:rsidRPr="005A0FAF" w:rsidRDefault="0041227D" w:rsidP="00087CC2">
            <w:pPr>
              <w:pStyle w:val="SemEspaamen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5A0FA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Unilateral   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  </w:t>
            </w:r>
            <w:proofErr w:type="spellStart"/>
            <w:r w:rsidRPr="005A0FA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Pré</w:t>
            </w:r>
            <w:proofErr w:type="spellEnd"/>
          </w:p>
          <w:p w14:paraId="4434C0E0" w14:textId="77777777" w:rsidR="0041227D" w:rsidRPr="005A0FAF" w:rsidRDefault="0041227D" w:rsidP="00087CC2">
            <w:pPr>
              <w:pStyle w:val="SemEspaamen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5A0FA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                    Pós                                </w:t>
            </w:r>
          </w:p>
          <w:p w14:paraId="36D83ABA" w14:textId="77777777" w:rsidR="0041227D" w:rsidRPr="005A0FAF" w:rsidRDefault="0041227D" w:rsidP="00087CC2">
            <w:pPr>
              <w:pStyle w:val="SemEspaamen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5A0FA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Bilateral     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 </w:t>
            </w:r>
            <w:r w:rsidRPr="005A0FA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0FA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Pré</w:t>
            </w:r>
            <w:proofErr w:type="spellEnd"/>
          </w:p>
          <w:p w14:paraId="2051B3E2" w14:textId="77777777" w:rsidR="0041227D" w:rsidRPr="005A0FAF" w:rsidRDefault="0041227D" w:rsidP="00087CC2">
            <w:pPr>
              <w:pStyle w:val="SemEspaamento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A0FA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                    Pós</w:t>
            </w:r>
          </w:p>
          <w:p w14:paraId="796EB56C" w14:textId="77777777" w:rsidR="0041227D" w:rsidRPr="005A0FAF" w:rsidRDefault="0041227D" w:rsidP="00087CC2">
            <w:pPr>
              <w:pStyle w:val="SemEspaamen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5A0FA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TR                </w:t>
            </w:r>
            <w:proofErr w:type="spellStart"/>
            <w:r w:rsidRPr="005A0FA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Pre</w:t>
            </w:r>
            <w:proofErr w:type="spellEnd"/>
          </w:p>
          <w:p w14:paraId="2732E5A6" w14:textId="77777777" w:rsidR="0041227D" w:rsidRPr="005A0FAF" w:rsidRDefault="0041227D" w:rsidP="00087CC2">
            <w:pPr>
              <w:pStyle w:val="SemEspaamen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5A0FA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                    </w:t>
            </w:r>
            <w:proofErr w:type="spellStart"/>
            <w:r w:rsidRPr="005A0FA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Pos</w:t>
            </w:r>
            <w:proofErr w:type="spellEnd"/>
            <w:r w:rsidRPr="005A0FA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                 </w:t>
            </w:r>
          </w:p>
        </w:tc>
        <w:tc>
          <w:tcPr>
            <w:tcW w:w="1667" w:type="pc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66A0DD0E" w14:textId="77777777" w:rsidR="0041227D" w:rsidRPr="005A0FAF" w:rsidRDefault="0041227D" w:rsidP="00087CC2">
            <w:pPr>
              <w:pStyle w:val="SemEspaamen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5A0FA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21±4,58</w:t>
            </w:r>
          </w:p>
          <w:p w14:paraId="444D546D" w14:textId="77777777" w:rsidR="0041227D" w:rsidRPr="005A0FAF" w:rsidRDefault="0041227D" w:rsidP="00087CC2">
            <w:pPr>
              <w:pStyle w:val="SemEspaamen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5A0FA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28,67±3,51</w:t>
            </w:r>
          </w:p>
          <w:p w14:paraId="65ACBA7A" w14:textId="77777777" w:rsidR="0041227D" w:rsidRPr="005A0FAF" w:rsidRDefault="0041227D" w:rsidP="00087CC2">
            <w:pPr>
              <w:pStyle w:val="SemEspaamen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5A0FA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15±4,58</w:t>
            </w:r>
          </w:p>
          <w:p w14:paraId="2E7AD534" w14:textId="77777777" w:rsidR="0041227D" w:rsidRPr="005A0FAF" w:rsidRDefault="0041227D" w:rsidP="00087CC2">
            <w:pPr>
              <w:pStyle w:val="SemEspaamento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A0FA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19±7,21</w:t>
            </w:r>
          </w:p>
          <w:p w14:paraId="39520189" w14:textId="77777777" w:rsidR="0041227D" w:rsidRPr="005A0FAF" w:rsidRDefault="0041227D" w:rsidP="00087CC2">
            <w:pPr>
              <w:pStyle w:val="SemEspaamen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5A0FA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18±5,25</w:t>
            </w:r>
          </w:p>
          <w:p w14:paraId="1A11AFDA" w14:textId="77777777" w:rsidR="0041227D" w:rsidRPr="005A0FAF" w:rsidRDefault="0041227D" w:rsidP="00087CC2">
            <w:pPr>
              <w:pStyle w:val="SemEspaamen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5A0FA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23,83±7,33</w:t>
            </w:r>
          </w:p>
        </w:tc>
        <w:tc>
          <w:tcPr>
            <w:tcW w:w="1666" w:type="pc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3393F1D2" w14:textId="77777777" w:rsidR="0041227D" w:rsidRPr="005A0FAF" w:rsidRDefault="0041227D" w:rsidP="00087CC2">
            <w:pPr>
              <w:pStyle w:val="SemEspaamen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5A0FA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24,67±8,62</w:t>
            </w:r>
          </w:p>
          <w:p w14:paraId="4DB0E4E6" w14:textId="77777777" w:rsidR="0041227D" w:rsidRPr="005A0FAF" w:rsidRDefault="0041227D" w:rsidP="00087CC2">
            <w:pPr>
              <w:pStyle w:val="SemEspaamen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5A0FA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29,67±10,26</w:t>
            </w:r>
          </w:p>
          <w:p w14:paraId="164A1CB4" w14:textId="77777777" w:rsidR="0041227D" w:rsidRPr="005A0FAF" w:rsidRDefault="0041227D" w:rsidP="00087CC2">
            <w:pPr>
              <w:pStyle w:val="SemEspaamen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5A0FA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12,67±2,08</w:t>
            </w:r>
          </w:p>
          <w:p w14:paraId="343BF45E" w14:textId="77777777" w:rsidR="0041227D" w:rsidRPr="005A0FAF" w:rsidRDefault="0041227D" w:rsidP="00087CC2">
            <w:pPr>
              <w:pStyle w:val="SemEspaamen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5A0FA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19,33±10,69</w:t>
            </w:r>
          </w:p>
          <w:p w14:paraId="7B1A7EDB" w14:textId="77777777" w:rsidR="0041227D" w:rsidRPr="005A0FAF" w:rsidRDefault="0041227D" w:rsidP="00087CC2">
            <w:pPr>
              <w:pStyle w:val="SemEspaamen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5A0FA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18,67±8,64*</w:t>
            </w:r>
          </w:p>
          <w:p w14:paraId="4281870D" w14:textId="77777777" w:rsidR="0041227D" w:rsidRPr="005A0FAF" w:rsidRDefault="0041227D" w:rsidP="00087CC2">
            <w:pPr>
              <w:pStyle w:val="SemEspaamen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5A0FA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24,50±10,95</w:t>
            </w:r>
          </w:p>
        </w:tc>
      </w:tr>
    </w:tbl>
    <w:p w14:paraId="34C66E5D" w14:textId="0E32DFDE" w:rsidR="0041227D" w:rsidRPr="00D22CAB" w:rsidRDefault="0041227D" w:rsidP="00D22CAB">
      <w:pPr>
        <w:pStyle w:val="Textodenotaderodap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D22CAB">
        <w:rPr>
          <w:rStyle w:val="nfaseSutil"/>
          <w:rFonts w:ascii="Times New Roman" w:hAnsi="Times New Roman"/>
          <w:color w:val="000000" w:themeColor="text1"/>
          <w:sz w:val="18"/>
          <w:szCs w:val="18"/>
        </w:rPr>
        <w:t>*PD=perna direita, PE=perna esquerda, TR= total de repetições M=média, DV=desvio padrão, *p&lt;0.05</w:t>
      </w:r>
    </w:p>
    <w:p w14:paraId="3B84AD58" w14:textId="77777777" w:rsidR="0041227D" w:rsidRPr="005A0FAF" w:rsidRDefault="0041227D" w:rsidP="0041227D">
      <w:pPr>
        <w:jc w:val="both"/>
        <w:rPr>
          <w:rFonts w:ascii="Arial" w:hAnsi="Arial" w:cs="Arial"/>
          <w:color w:val="000000" w:themeColor="text1"/>
        </w:rPr>
      </w:pPr>
    </w:p>
    <w:p w14:paraId="6BFACE5A" w14:textId="77777777" w:rsidR="0041227D" w:rsidRDefault="0041227D" w:rsidP="0041227D">
      <w:pPr>
        <w:jc w:val="both"/>
        <w:rPr>
          <w:rFonts w:ascii="Arial" w:hAnsi="Arial" w:cs="Arial"/>
          <w:b/>
        </w:rPr>
      </w:pPr>
    </w:p>
    <w:p w14:paraId="1383BA29" w14:textId="77777777" w:rsidR="0041227D" w:rsidRPr="008E560E" w:rsidRDefault="0041227D" w:rsidP="008E560E">
      <w:pPr>
        <w:spacing w:line="360" w:lineRule="auto"/>
        <w:rPr>
          <w:rFonts w:ascii="Times New Roman" w:hAnsi="Times New Roman" w:cs="Times New Roman"/>
        </w:rPr>
      </w:pPr>
      <w:r w:rsidRPr="008E560E">
        <w:rPr>
          <w:rFonts w:ascii="Times New Roman" w:hAnsi="Times New Roman" w:cs="Times New Roman"/>
        </w:rPr>
        <w:t xml:space="preserve">O Tamanho de efeito em ambos os grupos foi relevante. O grupo que treinou bilateral teve um tamanho de efeito maior do que o grupo que treinou unilateral. </w:t>
      </w:r>
    </w:p>
    <w:p w14:paraId="79A2BF8E" w14:textId="77777777" w:rsidR="00D22CAB" w:rsidRDefault="00D22CAB" w:rsidP="008E560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34A97DB" w14:textId="77777777" w:rsidR="00D22CAB" w:rsidRDefault="00D22CAB" w:rsidP="008E560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10CD524" w14:textId="77777777" w:rsidR="00D22CAB" w:rsidRDefault="00D22CAB" w:rsidP="008E560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F137821" w14:textId="77777777" w:rsidR="00D22CAB" w:rsidRDefault="00D22CAB" w:rsidP="008E560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F76326A" w14:textId="77777777" w:rsidR="00D22CAB" w:rsidRDefault="00D22CAB" w:rsidP="008E560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003D528" w14:textId="77777777" w:rsidR="00D22CAB" w:rsidRDefault="00D22CAB" w:rsidP="008E560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C14FBD7" w14:textId="77777777" w:rsidR="004C4108" w:rsidRDefault="004C4108" w:rsidP="008E560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CAA1562" w14:textId="77777777" w:rsidR="004C4108" w:rsidRDefault="004C4108" w:rsidP="008E560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B4453F8" w14:textId="77777777" w:rsidR="00582B55" w:rsidRDefault="00582B55" w:rsidP="008E560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5C45EFF" w14:textId="77777777" w:rsidR="00582B55" w:rsidRDefault="00582B55" w:rsidP="008E560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0B4865C" w14:textId="77777777" w:rsidR="00582B55" w:rsidRDefault="00582B55" w:rsidP="008E560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6ACC87E" w14:textId="77777777" w:rsidR="00582B55" w:rsidRDefault="00582B55" w:rsidP="008E560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9E192D0" w14:textId="77777777" w:rsidR="004C4108" w:rsidRDefault="004C4108" w:rsidP="008E560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032E0C0" w14:textId="77777777" w:rsidR="004C4108" w:rsidRDefault="004C4108" w:rsidP="008E560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D91D6D7" w14:textId="77777777" w:rsidR="00D22CAB" w:rsidRDefault="00D22CAB" w:rsidP="008E560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F8980DA" w14:textId="6E152DFB" w:rsidR="0041227D" w:rsidRPr="008E560E" w:rsidRDefault="0041227D" w:rsidP="008E560E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E560E">
        <w:rPr>
          <w:rFonts w:ascii="Times New Roman" w:hAnsi="Times New Roman" w:cs="Times New Roman"/>
          <w:b/>
          <w:sz w:val="18"/>
          <w:szCs w:val="18"/>
        </w:rPr>
        <w:lastRenderedPageBreak/>
        <w:t>Figura 2:</w:t>
      </w:r>
      <w:r w:rsidRPr="008E560E">
        <w:rPr>
          <w:rFonts w:ascii="Times New Roman" w:hAnsi="Times New Roman" w:cs="Times New Roman"/>
          <w:sz w:val="18"/>
          <w:szCs w:val="18"/>
        </w:rPr>
        <w:t xml:space="preserve"> O tamanho de efeito do treinamento bilateral e unilateral na melhora do déficit de força</w:t>
      </w:r>
    </w:p>
    <w:p w14:paraId="1920F4E4" w14:textId="77777777" w:rsidR="0041227D" w:rsidRDefault="0041227D" w:rsidP="0041227D">
      <w:pPr>
        <w:jc w:val="center"/>
        <w:rPr>
          <w:rFonts w:ascii="Arial" w:hAnsi="Arial" w:cs="Arial"/>
          <w:i/>
        </w:rPr>
      </w:pPr>
      <w:r w:rsidRPr="005A0FAF">
        <w:rPr>
          <w:rFonts w:ascii="Arial" w:hAnsi="Arial" w:cs="Arial"/>
          <w:noProof/>
          <w:lang w:eastAsia="pt-BR"/>
        </w:rPr>
        <w:drawing>
          <wp:inline distT="0" distB="0" distL="0" distR="0" wp14:anchorId="7B0FDAE7" wp14:editId="07A7DBA4">
            <wp:extent cx="3802380" cy="2247265"/>
            <wp:effectExtent l="0" t="0" r="7620" b="635"/>
            <wp:docPr id="24750847" name="Gráfico 247508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BE89292" w14:textId="77777777" w:rsidR="0041227D" w:rsidRPr="005A0FAF" w:rsidRDefault="0041227D" w:rsidP="0041227D">
      <w:pPr>
        <w:jc w:val="both"/>
        <w:rPr>
          <w:rFonts w:ascii="Arial" w:hAnsi="Arial" w:cs="Arial"/>
          <w:b/>
          <w:i/>
        </w:rPr>
      </w:pPr>
    </w:p>
    <w:p w14:paraId="14E495EE" w14:textId="4301665F" w:rsidR="0041227D" w:rsidRPr="000B6757" w:rsidRDefault="0041227D" w:rsidP="000B6757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6757">
        <w:rPr>
          <w:rFonts w:ascii="Times New Roman" w:hAnsi="Times New Roman" w:cs="Times New Roman"/>
          <w:sz w:val="24"/>
          <w:szCs w:val="24"/>
        </w:rPr>
        <w:t xml:space="preserve">Ambos os grupos conseguiram diminuir o déficit de força. Esse estudo corrobora com outros estudos que compararam o efeito do treinamento bilateral </w:t>
      </w:r>
      <w:r w:rsidRPr="000B6757">
        <w:rPr>
          <w:rFonts w:ascii="Times New Roman" w:hAnsi="Times New Roman" w:cs="Times New Roman"/>
          <w:bCs/>
          <w:sz w:val="24"/>
          <w:szCs w:val="24"/>
        </w:rPr>
        <w:t>e/ou</w:t>
      </w:r>
      <w:r w:rsidRPr="000B6757">
        <w:rPr>
          <w:rFonts w:ascii="Times New Roman" w:hAnsi="Times New Roman" w:cs="Times New Roman"/>
          <w:sz w:val="24"/>
          <w:szCs w:val="24"/>
        </w:rPr>
        <w:t xml:space="preserve"> unilateral como estratégias para melhorar o nível de força dos membros inferiores (</w:t>
      </w:r>
      <w:proofErr w:type="spellStart"/>
      <w:r w:rsidRPr="000B6757">
        <w:rPr>
          <w:rFonts w:ascii="Times New Roman" w:hAnsi="Times New Roman" w:cs="Times New Roman"/>
          <w:sz w:val="24"/>
          <w:szCs w:val="24"/>
        </w:rPr>
        <w:t>Janzen</w:t>
      </w:r>
      <w:proofErr w:type="spellEnd"/>
      <w:r w:rsidRPr="000B6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6757">
        <w:rPr>
          <w:rFonts w:ascii="Times New Roman" w:hAnsi="Times New Roman" w:cs="Times New Roman"/>
          <w:sz w:val="24"/>
          <w:szCs w:val="24"/>
        </w:rPr>
        <w:t>Chilibeck</w:t>
      </w:r>
      <w:proofErr w:type="spellEnd"/>
      <w:r w:rsidRPr="000B6757">
        <w:rPr>
          <w:rFonts w:ascii="Times New Roman" w:hAnsi="Times New Roman" w:cs="Times New Roman"/>
          <w:sz w:val="24"/>
          <w:szCs w:val="24"/>
        </w:rPr>
        <w:t xml:space="preserve">, Davison, 2006) (Botton e </w:t>
      </w:r>
      <w:proofErr w:type="spellStart"/>
      <w:r w:rsidRPr="000B6757">
        <w:rPr>
          <w:rFonts w:ascii="Times New Roman" w:hAnsi="Times New Roman" w:cs="Times New Roman"/>
          <w:sz w:val="24"/>
          <w:szCs w:val="24"/>
        </w:rPr>
        <w:t>colaboradoes</w:t>
      </w:r>
      <w:proofErr w:type="spellEnd"/>
      <w:r w:rsidRPr="000B6757">
        <w:rPr>
          <w:rFonts w:ascii="Times New Roman" w:hAnsi="Times New Roman" w:cs="Times New Roman"/>
          <w:sz w:val="24"/>
          <w:szCs w:val="24"/>
        </w:rPr>
        <w:t>, 2016) (Taniguchi, 1996) (</w:t>
      </w:r>
      <w:proofErr w:type="spellStart"/>
      <w:r w:rsidRPr="000B6757">
        <w:rPr>
          <w:rFonts w:ascii="Times New Roman" w:hAnsi="Times New Roman" w:cs="Times New Roman"/>
          <w:sz w:val="24"/>
          <w:szCs w:val="24"/>
        </w:rPr>
        <w:t>Kuruganti</w:t>
      </w:r>
      <w:proofErr w:type="spellEnd"/>
      <w:r w:rsidRPr="000B6757">
        <w:rPr>
          <w:rFonts w:ascii="Times New Roman" w:hAnsi="Times New Roman" w:cs="Times New Roman"/>
          <w:sz w:val="24"/>
          <w:szCs w:val="24"/>
        </w:rPr>
        <w:t xml:space="preserve">, Parker, </w:t>
      </w:r>
      <w:proofErr w:type="spellStart"/>
      <w:r w:rsidRPr="000B6757">
        <w:rPr>
          <w:rFonts w:ascii="Times New Roman" w:hAnsi="Times New Roman" w:cs="Times New Roman"/>
          <w:sz w:val="24"/>
          <w:szCs w:val="24"/>
        </w:rPr>
        <w:t>Rickards</w:t>
      </w:r>
      <w:proofErr w:type="spellEnd"/>
      <w:r w:rsidRPr="000B6757">
        <w:rPr>
          <w:rFonts w:ascii="Times New Roman" w:hAnsi="Times New Roman" w:cs="Times New Roman"/>
          <w:sz w:val="24"/>
          <w:szCs w:val="24"/>
        </w:rPr>
        <w:t>, 2005) (</w:t>
      </w:r>
      <w:proofErr w:type="spellStart"/>
      <w:r w:rsidRPr="000B6757">
        <w:rPr>
          <w:rFonts w:ascii="Times New Roman" w:hAnsi="Times New Roman" w:cs="Times New Roman"/>
          <w:sz w:val="24"/>
          <w:szCs w:val="24"/>
        </w:rPr>
        <w:t>Beurskens</w:t>
      </w:r>
      <w:proofErr w:type="spellEnd"/>
      <w:r w:rsidRPr="000B6757">
        <w:rPr>
          <w:rFonts w:ascii="Times New Roman" w:hAnsi="Times New Roman" w:cs="Times New Roman"/>
          <w:sz w:val="24"/>
          <w:szCs w:val="24"/>
        </w:rPr>
        <w:t xml:space="preserve"> e colaboradores, 2015) </w:t>
      </w:r>
    </w:p>
    <w:p w14:paraId="6A3AF7CA" w14:textId="77777777" w:rsidR="008E560E" w:rsidRDefault="008E560E" w:rsidP="000B6757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A8D341" w14:textId="2B54AB43" w:rsidR="0041227D" w:rsidRPr="000B6757" w:rsidRDefault="0041227D" w:rsidP="000B6757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6757">
        <w:rPr>
          <w:rFonts w:ascii="Times New Roman" w:hAnsi="Times New Roman" w:cs="Times New Roman"/>
          <w:sz w:val="24"/>
          <w:szCs w:val="24"/>
        </w:rPr>
        <w:t xml:space="preserve">O tamanho de efeito visto de acordo com o delta de </w:t>
      </w:r>
      <w:proofErr w:type="spellStart"/>
      <w:r w:rsidRPr="000B6757">
        <w:rPr>
          <w:rFonts w:ascii="Times New Roman" w:hAnsi="Times New Roman" w:cs="Times New Roman"/>
          <w:sz w:val="24"/>
          <w:szCs w:val="24"/>
        </w:rPr>
        <w:t>glass</w:t>
      </w:r>
      <w:proofErr w:type="spellEnd"/>
      <w:r w:rsidRPr="000B6757">
        <w:rPr>
          <w:rFonts w:ascii="Times New Roman" w:hAnsi="Times New Roman" w:cs="Times New Roman"/>
          <w:sz w:val="24"/>
          <w:szCs w:val="24"/>
        </w:rPr>
        <w:t xml:space="preserve">, indica que o treinamento realizado de forma bilateral teve um maior impacto na melhora dos níveis de força, levando a uma melhora do déficit de força entre membros, corroborando assim com outros estudos que obtiveram </w:t>
      </w:r>
      <w:proofErr w:type="gramStart"/>
      <w:r w:rsidRPr="000B6757">
        <w:rPr>
          <w:rFonts w:ascii="Times New Roman" w:hAnsi="Times New Roman" w:cs="Times New Roman"/>
          <w:sz w:val="24"/>
          <w:szCs w:val="24"/>
        </w:rPr>
        <w:t>melhor</w:t>
      </w:r>
      <w:proofErr w:type="gramEnd"/>
      <w:r w:rsidRPr="000B6757">
        <w:rPr>
          <w:rFonts w:ascii="Times New Roman" w:hAnsi="Times New Roman" w:cs="Times New Roman"/>
          <w:sz w:val="24"/>
          <w:szCs w:val="24"/>
        </w:rPr>
        <w:t xml:space="preserve"> reposta com o treinamento bilateral para melhorar de déficit de força (</w:t>
      </w:r>
      <w:proofErr w:type="spellStart"/>
      <w:r w:rsidRPr="000B6757">
        <w:rPr>
          <w:rFonts w:ascii="Times New Roman" w:hAnsi="Times New Roman" w:cs="Times New Roman"/>
          <w:sz w:val="24"/>
          <w:szCs w:val="24"/>
        </w:rPr>
        <w:t>Janzen</w:t>
      </w:r>
      <w:proofErr w:type="spellEnd"/>
      <w:r w:rsidRPr="000B6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6757">
        <w:rPr>
          <w:rFonts w:ascii="Times New Roman" w:hAnsi="Times New Roman" w:cs="Times New Roman"/>
          <w:sz w:val="24"/>
          <w:szCs w:val="24"/>
        </w:rPr>
        <w:t>Chilibeck</w:t>
      </w:r>
      <w:proofErr w:type="spellEnd"/>
      <w:r w:rsidRPr="000B6757">
        <w:rPr>
          <w:rFonts w:ascii="Times New Roman" w:hAnsi="Times New Roman" w:cs="Times New Roman"/>
          <w:sz w:val="24"/>
          <w:szCs w:val="24"/>
        </w:rPr>
        <w:t>, Davison, 2006) (Taniguchi, 1996).</w:t>
      </w:r>
    </w:p>
    <w:p w14:paraId="40663038" w14:textId="77777777" w:rsidR="008E560E" w:rsidRDefault="008E560E" w:rsidP="000B6757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534043" w14:textId="59CA492D" w:rsidR="0041227D" w:rsidRPr="000B6757" w:rsidRDefault="0041227D" w:rsidP="000B6757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6757">
        <w:rPr>
          <w:rFonts w:ascii="Times New Roman" w:hAnsi="Times New Roman" w:cs="Times New Roman"/>
          <w:sz w:val="24"/>
          <w:szCs w:val="24"/>
        </w:rPr>
        <w:t xml:space="preserve">Uma adaptação que pode ter ocorrido para a melhora dos níveis de força, pode ter sido uma melhor adaptação neural, ou seja, </w:t>
      </w:r>
      <w:proofErr w:type="gramStart"/>
      <w:r w:rsidRPr="000B6757">
        <w:rPr>
          <w:rFonts w:ascii="Times New Roman" w:hAnsi="Times New Roman" w:cs="Times New Roman"/>
          <w:sz w:val="24"/>
          <w:szCs w:val="24"/>
        </w:rPr>
        <w:t>uma quantidade maior de unidades motoras podem</w:t>
      </w:r>
      <w:proofErr w:type="gramEnd"/>
      <w:r w:rsidRPr="000B6757">
        <w:rPr>
          <w:rFonts w:ascii="Times New Roman" w:hAnsi="Times New Roman" w:cs="Times New Roman"/>
          <w:sz w:val="24"/>
          <w:szCs w:val="24"/>
        </w:rPr>
        <w:t xml:space="preserve"> ter sido utilizadas para contribuir nos ganhos de força. Essa hipótese vai de acordo com estudos que investigaram os efeitos de treinamento bilateral e unilateral e sua relação com o déficit de força bilateral e inibição neural (</w:t>
      </w:r>
      <w:proofErr w:type="spellStart"/>
      <w:r w:rsidRPr="000B6757">
        <w:rPr>
          <w:rFonts w:ascii="Times New Roman" w:hAnsi="Times New Roman" w:cs="Times New Roman"/>
          <w:sz w:val="24"/>
          <w:szCs w:val="24"/>
        </w:rPr>
        <w:t>Janzen</w:t>
      </w:r>
      <w:proofErr w:type="spellEnd"/>
      <w:r w:rsidRPr="000B6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6757">
        <w:rPr>
          <w:rFonts w:ascii="Times New Roman" w:hAnsi="Times New Roman" w:cs="Times New Roman"/>
          <w:sz w:val="24"/>
          <w:szCs w:val="24"/>
        </w:rPr>
        <w:t>Chilibeck</w:t>
      </w:r>
      <w:proofErr w:type="spellEnd"/>
      <w:r w:rsidRPr="000B6757">
        <w:rPr>
          <w:rFonts w:ascii="Times New Roman" w:hAnsi="Times New Roman" w:cs="Times New Roman"/>
          <w:sz w:val="24"/>
          <w:szCs w:val="24"/>
        </w:rPr>
        <w:t>, Davison, 2006)</w:t>
      </w:r>
      <w:r w:rsidRPr="000B67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7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B6757">
        <w:rPr>
          <w:rFonts w:ascii="Times New Roman" w:hAnsi="Times New Roman" w:cs="Times New Roman"/>
          <w:sz w:val="24"/>
          <w:szCs w:val="24"/>
        </w:rPr>
        <w:t>Beurskens</w:t>
      </w:r>
      <w:proofErr w:type="spellEnd"/>
      <w:r w:rsidRPr="000B6757">
        <w:rPr>
          <w:rFonts w:ascii="Times New Roman" w:hAnsi="Times New Roman" w:cs="Times New Roman"/>
          <w:sz w:val="24"/>
          <w:szCs w:val="24"/>
        </w:rPr>
        <w:t xml:space="preserve"> e colaboradores, 2015).</w:t>
      </w:r>
    </w:p>
    <w:p w14:paraId="2D776E2C" w14:textId="77777777" w:rsidR="008E560E" w:rsidRDefault="008E560E" w:rsidP="000B675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14:paraId="46EA8714" w14:textId="02AFDE4B" w:rsidR="0041227D" w:rsidRPr="000B6757" w:rsidRDefault="004C4108" w:rsidP="000B675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41227D" w:rsidRPr="000B6757">
        <w:rPr>
          <w:rFonts w:ascii="Times New Roman" w:hAnsi="Times New Roman" w:cs="Times New Roman"/>
        </w:rPr>
        <w:t xml:space="preserve"> fato </w:t>
      </w:r>
      <w:proofErr w:type="gramStart"/>
      <w:r w:rsidR="0041227D" w:rsidRPr="000B6757">
        <w:rPr>
          <w:rFonts w:ascii="Times New Roman" w:hAnsi="Times New Roman" w:cs="Times New Roman"/>
        </w:rPr>
        <w:t>dos</w:t>
      </w:r>
      <w:proofErr w:type="gramEnd"/>
      <w:r w:rsidR="0041227D" w:rsidRPr="000B6757">
        <w:rPr>
          <w:rFonts w:ascii="Times New Roman" w:hAnsi="Times New Roman" w:cs="Times New Roman"/>
        </w:rPr>
        <w:t xml:space="preserve"> participantes irem até a falha, pode ter contribuído para os ganhos de força, uma vez que muitos praticantes não costumam ir até a falha ou próximo a ela durante o treino, realizando séries de forma submáxima e consequentemente não fornecendo o melhor estímulo ao músculo alvo (</w:t>
      </w:r>
      <w:proofErr w:type="spellStart"/>
      <w:r w:rsidR="0041227D" w:rsidRPr="000B6757">
        <w:rPr>
          <w:rFonts w:ascii="Times New Roman" w:hAnsi="Times New Roman" w:cs="Times New Roman"/>
        </w:rPr>
        <w:t>McNair</w:t>
      </w:r>
      <w:proofErr w:type="spellEnd"/>
      <w:r w:rsidR="0041227D" w:rsidRPr="000B6757">
        <w:rPr>
          <w:rFonts w:ascii="Times New Roman" w:hAnsi="Times New Roman" w:cs="Times New Roman"/>
        </w:rPr>
        <w:t xml:space="preserve"> e colaboradores, 1995) (Lopes e colaboradores, 2020). E ao não atingirem um máximo desempenho nas </w:t>
      </w:r>
      <w:r w:rsidR="0041227D" w:rsidRPr="000B6757">
        <w:rPr>
          <w:rFonts w:ascii="Times New Roman" w:hAnsi="Times New Roman" w:cs="Times New Roman"/>
        </w:rPr>
        <w:lastRenderedPageBreak/>
        <w:t>séries, é possível que os números de fibras utilizadas não tenham sido suficientemente estimulados, o que traria um prejuízo nos ganhos de força pela falta de acionamento de unidades motoras (</w:t>
      </w:r>
      <w:proofErr w:type="spellStart"/>
      <w:r w:rsidR="0041227D" w:rsidRPr="000B6757">
        <w:rPr>
          <w:rFonts w:ascii="Times New Roman" w:hAnsi="Times New Roman" w:cs="Times New Roman"/>
        </w:rPr>
        <w:t>Dankel</w:t>
      </w:r>
      <w:proofErr w:type="spellEnd"/>
      <w:r w:rsidR="0041227D" w:rsidRPr="000B6757">
        <w:rPr>
          <w:rFonts w:ascii="Times New Roman" w:hAnsi="Times New Roman" w:cs="Times New Roman"/>
        </w:rPr>
        <w:t xml:space="preserve"> e colaboradores, 2017).</w:t>
      </w:r>
    </w:p>
    <w:p w14:paraId="0EBBC931" w14:textId="77777777" w:rsidR="000B6757" w:rsidRDefault="000B6757" w:rsidP="006D3F8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E3568F4" w14:textId="552204D0" w:rsidR="000B6757" w:rsidRPr="009E38EE" w:rsidRDefault="000B6757" w:rsidP="006D3F8B">
      <w:pPr>
        <w:spacing w:line="360" w:lineRule="auto"/>
        <w:rPr>
          <w:rFonts w:ascii="Times New Roman" w:hAnsi="Times New Roman" w:cs="Times New Roman"/>
          <w:b/>
          <w:bCs/>
        </w:rPr>
      </w:pPr>
      <w:r w:rsidRPr="009E38EE">
        <w:rPr>
          <w:rFonts w:ascii="Times New Roman" w:hAnsi="Times New Roman" w:cs="Times New Roman"/>
          <w:b/>
          <w:bCs/>
        </w:rPr>
        <w:t>CONCLUSÕES</w:t>
      </w:r>
    </w:p>
    <w:p w14:paraId="4477251D" w14:textId="5F21629E" w:rsidR="007104CC" w:rsidRPr="000B6757" w:rsidRDefault="0041227D" w:rsidP="000B6757">
      <w:pPr>
        <w:spacing w:line="360" w:lineRule="auto"/>
        <w:jc w:val="both"/>
        <w:rPr>
          <w:rFonts w:ascii="Times New Roman" w:hAnsi="Times New Roman" w:cs="Times New Roman"/>
        </w:rPr>
      </w:pPr>
      <w:r w:rsidRPr="000B6757">
        <w:rPr>
          <w:rFonts w:ascii="Times New Roman" w:hAnsi="Times New Roman" w:cs="Times New Roman"/>
        </w:rPr>
        <w:t xml:space="preserve">Os resultados indicaram que quatro semanas de treinamento resistido foram suficientes para provocar uma melhora no déficit de força de membros inferiores em homens jovens adultos treinados, realizando de forma bilateral e unilateral. </w:t>
      </w:r>
      <w:r w:rsidR="004C4108">
        <w:rPr>
          <w:rFonts w:ascii="Times New Roman" w:hAnsi="Times New Roman" w:cs="Times New Roman"/>
        </w:rPr>
        <w:t xml:space="preserve">O </w:t>
      </w:r>
      <w:r w:rsidRPr="000B6757">
        <w:rPr>
          <w:rFonts w:ascii="Times New Roman" w:hAnsi="Times New Roman" w:cs="Times New Roman"/>
        </w:rPr>
        <w:t xml:space="preserve">treinamento bilateral teve uma </w:t>
      </w:r>
      <w:proofErr w:type="gramStart"/>
      <w:r w:rsidRPr="000B6757">
        <w:rPr>
          <w:rFonts w:ascii="Times New Roman" w:hAnsi="Times New Roman" w:cs="Times New Roman"/>
        </w:rPr>
        <w:t>melhor</w:t>
      </w:r>
      <w:proofErr w:type="gramEnd"/>
      <w:r w:rsidRPr="000B6757">
        <w:rPr>
          <w:rFonts w:ascii="Times New Roman" w:hAnsi="Times New Roman" w:cs="Times New Roman"/>
        </w:rPr>
        <w:t xml:space="preserve"> reposta na melhora do déficit quando foi observado o tamanho de efeito.</w:t>
      </w:r>
    </w:p>
    <w:p w14:paraId="6BC56AEF" w14:textId="77777777" w:rsidR="0041227D" w:rsidRPr="009E38EE" w:rsidRDefault="0041227D" w:rsidP="006D3F8B">
      <w:pPr>
        <w:spacing w:line="360" w:lineRule="auto"/>
        <w:jc w:val="both"/>
        <w:rPr>
          <w:rFonts w:ascii="Times New Roman" w:hAnsi="Times New Roman" w:cs="Times New Roman"/>
        </w:rPr>
      </w:pPr>
    </w:p>
    <w:p w14:paraId="29D7A759" w14:textId="624C1D12" w:rsidR="007104CC" w:rsidRDefault="000B6757" w:rsidP="006D3F8B">
      <w:pPr>
        <w:spacing w:line="360" w:lineRule="auto"/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  <w:b/>
          <w:bCs/>
        </w:rPr>
        <w:t>REFERÊNCIAS</w:t>
      </w:r>
    </w:p>
    <w:p w14:paraId="4DA92921" w14:textId="6D9BB95E" w:rsidR="008E560E" w:rsidRPr="008E560E" w:rsidRDefault="0041227D" w:rsidP="008E560E">
      <w:pPr>
        <w:spacing w:line="360" w:lineRule="auto"/>
        <w:rPr>
          <w:rFonts w:ascii="Times New Roman" w:hAnsi="Times New Roman" w:cs="Times New Roman"/>
          <w:lang w:val="en-US"/>
        </w:rPr>
      </w:pPr>
      <w:r w:rsidRPr="008E560E">
        <w:rPr>
          <w:rFonts w:ascii="Times New Roman" w:hAnsi="Times New Roman" w:cs="Times New Roman"/>
          <w:lang w:val="en-US"/>
        </w:rPr>
        <w:t>BEURSKENS, R.; Gollhofer, A.; Muehlbauer, T.; CARDINALE, M.; GRANACHER U. Effects of Heavy-Resistance Strength and Balance Training on Unilateral and Bilateral Leg Strength Performance in Old Adults. </w:t>
      </w:r>
      <w:proofErr w:type="spellStart"/>
      <w:r w:rsidRPr="008E560E">
        <w:rPr>
          <w:rFonts w:ascii="Times New Roman" w:hAnsi="Times New Roman" w:cs="Times New Roman"/>
          <w:lang w:val="en-US"/>
        </w:rPr>
        <w:t>Plos</w:t>
      </w:r>
      <w:proofErr w:type="spellEnd"/>
      <w:r w:rsidRPr="008E560E">
        <w:rPr>
          <w:rFonts w:ascii="Times New Roman" w:hAnsi="Times New Roman" w:cs="Times New Roman"/>
          <w:lang w:val="en-US"/>
        </w:rPr>
        <w:t xml:space="preserve"> one, [s. l.], 2015. DOI: https://doi.org/10.1371/ </w:t>
      </w:r>
      <w:proofErr w:type="gramStart"/>
      <w:r w:rsidRPr="008E560E">
        <w:rPr>
          <w:rFonts w:ascii="Times New Roman" w:hAnsi="Times New Roman" w:cs="Times New Roman"/>
          <w:lang w:val="en-US"/>
        </w:rPr>
        <w:t>journal.pone</w:t>
      </w:r>
      <w:proofErr w:type="gramEnd"/>
      <w:r w:rsidRPr="008E560E">
        <w:rPr>
          <w:rFonts w:ascii="Times New Roman" w:hAnsi="Times New Roman" w:cs="Times New Roman"/>
          <w:lang w:val="en-US"/>
        </w:rPr>
        <w:t>.0118535.</w:t>
      </w:r>
    </w:p>
    <w:p w14:paraId="784DA4FA" w14:textId="3473CE3A" w:rsidR="0041227D" w:rsidRPr="008E560E" w:rsidRDefault="0041227D" w:rsidP="008E560E">
      <w:pPr>
        <w:spacing w:line="360" w:lineRule="auto"/>
        <w:rPr>
          <w:rFonts w:ascii="Times New Roman" w:hAnsi="Times New Roman" w:cs="Times New Roman"/>
          <w:lang w:val="en-US"/>
        </w:rPr>
      </w:pPr>
      <w:r w:rsidRPr="008E560E">
        <w:rPr>
          <w:rFonts w:ascii="Times New Roman" w:hAnsi="Times New Roman" w:cs="Times New Roman"/>
          <w:lang w:val="en-US"/>
        </w:rPr>
        <w:t>BOTTON, C. E.; RADAELLI, R.; WILHELM, E. N.; RECH, A.; BROWN, L. E.; PINTO, R. S. Neuromuscular adaptations to unilateral vs. bilateral strength training in women. Journal of strength and conditioning research. Vol.30, n 7, 2016.</w:t>
      </w:r>
    </w:p>
    <w:p w14:paraId="55BF03AE" w14:textId="77777777" w:rsidR="0041227D" w:rsidRPr="008E560E" w:rsidRDefault="0041227D" w:rsidP="008E560E">
      <w:pPr>
        <w:spacing w:line="360" w:lineRule="auto"/>
        <w:rPr>
          <w:rFonts w:ascii="Times New Roman" w:hAnsi="Times New Roman" w:cs="Times New Roman"/>
          <w:lang w:val="en-US"/>
        </w:rPr>
      </w:pPr>
      <w:r w:rsidRPr="008E560E">
        <w:rPr>
          <w:rFonts w:ascii="Times New Roman" w:hAnsi="Times New Roman" w:cs="Times New Roman"/>
          <w:lang w:val="en-US"/>
        </w:rPr>
        <w:t xml:space="preserve">BROWN, L.E.; WEIR, J.P. ASEP procedures recommendation I: Accurate assessment of muscular strength and power. J </w:t>
      </w:r>
      <w:proofErr w:type="spellStart"/>
      <w:r w:rsidRPr="008E560E">
        <w:rPr>
          <w:rFonts w:ascii="Times New Roman" w:hAnsi="Times New Roman" w:cs="Times New Roman"/>
          <w:lang w:val="en-US"/>
        </w:rPr>
        <w:t>Exerc</w:t>
      </w:r>
      <w:proofErr w:type="spellEnd"/>
      <w:r w:rsidRPr="008E560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560E">
        <w:rPr>
          <w:rFonts w:ascii="Times New Roman" w:hAnsi="Times New Roman" w:cs="Times New Roman"/>
          <w:lang w:val="en-US"/>
        </w:rPr>
        <w:t>Physiol</w:t>
      </w:r>
      <w:proofErr w:type="spellEnd"/>
      <w:r w:rsidRPr="008E560E">
        <w:rPr>
          <w:rFonts w:ascii="Times New Roman" w:hAnsi="Times New Roman" w:cs="Times New Roman"/>
          <w:lang w:val="en-US"/>
        </w:rPr>
        <w:t xml:space="preserve"> Online 4: 1-21, 2001.</w:t>
      </w:r>
    </w:p>
    <w:p w14:paraId="205C5D2E" w14:textId="77777777" w:rsidR="008E560E" w:rsidRPr="008E560E" w:rsidRDefault="0041227D" w:rsidP="008E560E">
      <w:pPr>
        <w:spacing w:line="360" w:lineRule="auto"/>
        <w:rPr>
          <w:rFonts w:ascii="Times New Roman" w:hAnsi="Times New Roman" w:cs="Times New Roman"/>
        </w:rPr>
      </w:pPr>
      <w:r w:rsidRPr="008E560E">
        <w:rPr>
          <w:rFonts w:ascii="Times New Roman" w:hAnsi="Times New Roman" w:cs="Times New Roman"/>
          <w:lang w:val="en-US"/>
        </w:rPr>
        <w:t xml:space="preserve">DANKEL, S. J.; MATTOCKS, K. T.; JESSEE, M. B.; BUCKNER, S. L.; MOUSER, J. G.; LOENNEKE, J.P. Do metabolites that are produced during resistance exercise enhance muscle hypertrophy. </w:t>
      </w:r>
      <w:proofErr w:type="spellStart"/>
      <w:r w:rsidRPr="008E560E">
        <w:rPr>
          <w:rFonts w:ascii="Times New Roman" w:hAnsi="Times New Roman" w:cs="Times New Roman"/>
        </w:rPr>
        <w:t>Eur</w:t>
      </w:r>
      <w:proofErr w:type="spellEnd"/>
      <w:r w:rsidRPr="008E560E">
        <w:rPr>
          <w:rFonts w:ascii="Times New Roman" w:hAnsi="Times New Roman" w:cs="Times New Roman"/>
        </w:rPr>
        <w:t xml:space="preserve"> J </w:t>
      </w:r>
      <w:proofErr w:type="spellStart"/>
      <w:r w:rsidRPr="008E560E">
        <w:rPr>
          <w:rFonts w:ascii="Times New Roman" w:hAnsi="Times New Roman" w:cs="Times New Roman"/>
        </w:rPr>
        <w:t>Appl</w:t>
      </w:r>
      <w:proofErr w:type="spellEnd"/>
      <w:r w:rsidRPr="008E560E">
        <w:rPr>
          <w:rFonts w:ascii="Times New Roman" w:hAnsi="Times New Roman" w:cs="Times New Roman"/>
        </w:rPr>
        <w:t xml:space="preserve"> </w:t>
      </w:r>
      <w:proofErr w:type="spellStart"/>
      <w:r w:rsidRPr="008E560E">
        <w:rPr>
          <w:rFonts w:ascii="Times New Roman" w:hAnsi="Times New Roman" w:cs="Times New Roman"/>
        </w:rPr>
        <w:t>Physiol</w:t>
      </w:r>
      <w:proofErr w:type="spellEnd"/>
      <w:r w:rsidRPr="008E560E">
        <w:rPr>
          <w:rFonts w:ascii="Times New Roman" w:hAnsi="Times New Roman" w:cs="Times New Roman"/>
        </w:rPr>
        <w:t xml:space="preserve"> (2017) 117:2125-2135 DOI: 10.1007/s00421-017-3690-1.</w:t>
      </w:r>
    </w:p>
    <w:p w14:paraId="11C972AB" w14:textId="6AB0EC0B" w:rsidR="008E560E" w:rsidRPr="008E560E" w:rsidRDefault="0041227D" w:rsidP="008E560E">
      <w:pPr>
        <w:spacing w:line="360" w:lineRule="auto"/>
        <w:rPr>
          <w:rFonts w:ascii="Times New Roman" w:hAnsi="Times New Roman" w:cs="Times New Roman"/>
        </w:rPr>
      </w:pPr>
      <w:r w:rsidRPr="008E560E">
        <w:rPr>
          <w:rFonts w:ascii="Times New Roman" w:hAnsi="Times New Roman" w:cs="Times New Roman"/>
          <w:highlight w:val="white"/>
        </w:rPr>
        <w:t xml:space="preserve">FLECK, S. J.; KRAEMER, W. J. Fundamentos do treinamento de força muscular. </w:t>
      </w:r>
      <w:r w:rsidRPr="008E560E">
        <w:rPr>
          <w:rFonts w:ascii="Times New Roman" w:hAnsi="Times New Roman" w:cs="Times New Roman"/>
          <w:highlight w:val="white"/>
          <w:lang w:val="en-US"/>
        </w:rPr>
        <w:t xml:space="preserve">4. ed. Porto Alegre: </w:t>
      </w:r>
      <w:proofErr w:type="spellStart"/>
      <w:r w:rsidRPr="008E560E">
        <w:rPr>
          <w:rFonts w:ascii="Times New Roman" w:hAnsi="Times New Roman" w:cs="Times New Roman"/>
          <w:highlight w:val="white"/>
          <w:lang w:val="en-US"/>
        </w:rPr>
        <w:t>Artmed</w:t>
      </w:r>
      <w:proofErr w:type="spellEnd"/>
      <w:r w:rsidRPr="008E560E">
        <w:rPr>
          <w:rFonts w:ascii="Times New Roman" w:hAnsi="Times New Roman" w:cs="Times New Roman"/>
          <w:highlight w:val="white"/>
          <w:lang w:val="en-US"/>
        </w:rPr>
        <w:t xml:space="preserve">, 2017. </w:t>
      </w:r>
    </w:p>
    <w:p w14:paraId="4C86D8BD" w14:textId="5C6B0C73" w:rsidR="0041227D" w:rsidRPr="008E560E" w:rsidRDefault="0041227D" w:rsidP="008E560E">
      <w:pPr>
        <w:spacing w:line="360" w:lineRule="auto"/>
        <w:rPr>
          <w:rFonts w:ascii="Times New Roman" w:hAnsi="Times New Roman" w:cs="Times New Roman"/>
        </w:rPr>
      </w:pPr>
      <w:r w:rsidRPr="008E560E">
        <w:rPr>
          <w:rFonts w:ascii="Times New Roman" w:hAnsi="Times New Roman" w:cs="Times New Roman"/>
          <w:lang w:val="en-US"/>
        </w:rPr>
        <w:t xml:space="preserve">JANZEN, C. L.; CHILIBECK, P. D.; DAVISON, K. S. The effect of unilateral and bilateral strength training on the bilateral deficit and lean tissue mass in post-menopausal women. </w:t>
      </w:r>
      <w:proofErr w:type="spellStart"/>
      <w:r w:rsidRPr="008E560E">
        <w:rPr>
          <w:rFonts w:ascii="Times New Roman" w:hAnsi="Times New Roman" w:cs="Times New Roman"/>
          <w:lang w:val="en-US"/>
        </w:rPr>
        <w:t>Eur</w:t>
      </w:r>
      <w:proofErr w:type="spellEnd"/>
      <w:r w:rsidRPr="008E560E">
        <w:rPr>
          <w:rFonts w:ascii="Times New Roman" w:hAnsi="Times New Roman" w:cs="Times New Roman"/>
          <w:lang w:val="en-US"/>
        </w:rPr>
        <w:t xml:space="preserve"> J Appl </w:t>
      </w:r>
      <w:proofErr w:type="spellStart"/>
      <w:r w:rsidRPr="008E560E">
        <w:rPr>
          <w:rFonts w:ascii="Times New Roman" w:hAnsi="Times New Roman" w:cs="Times New Roman"/>
          <w:lang w:val="en-US"/>
        </w:rPr>
        <w:t>Physiol</w:t>
      </w:r>
      <w:proofErr w:type="spellEnd"/>
      <w:r w:rsidRPr="008E560E">
        <w:rPr>
          <w:rFonts w:ascii="Times New Roman" w:hAnsi="Times New Roman" w:cs="Times New Roman"/>
          <w:lang w:val="en-US"/>
        </w:rPr>
        <w:t xml:space="preserve"> (2006) 97: 253-260 DOI: 10.1007/s00421-006-0165-1.</w:t>
      </w:r>
    </w:p>
    <w:p w14:paraId="6C3596A3" w14:textId="77777777" w:rsidR="0041227D" w:rsidRPr="008E560E" w:rsidRDefault="0041227D" w:rsidP="008E560E">
      <w:pPr>
        <w:spacing w:line="360" w:lineRule="auto"/>
        <w:rPr>
          <w:rFonts w:ascii="Times New Roman" w:hAnsi="Times New Roman" w:cs="Times New Roman"/>
          <w:lang w:val="en-US"/>
        </w:rPr>
      </w:pPr>
      <w:r w:rsidRPr="008E560E">
        <w:rPr>
          <w:rFonts w:ascii="Times New Roman" w:hAnsi="Times New Roman" w:cs="Times New Roman"/>
          <w:lang w:val="en-US"/>
        </w:rPr>
        <w:t xml:space="preserve">KURUGANTI, U.; PARKER, P.; RICKARDS, J.; TINGLEY, M.; SEXSMITH, J. Bilateral isokinetic training reduces the bilateral leg strength deficit for both old and </w:t>
      </w:r>
      <w:r w:rsidRPr="008E560E">
        <w:rPr>
          <w:rFonts w:ascii="Times New Roman" w:hAnsi="Times New Roman" w:cs="Times New Roman"/>
          <w:lang w:val="en-US"/>
        </w:rPr>
        <w:lastRenderedPageBreak/>
        <w:t xml:space="preserve">young adults. </w:t>
      </w:r>
      <w:proofErr w:type="spellStart"/>
      <w:r w:rsidRPr="008E560E">
        <w:rPr>
          <w:rFonts w:ascii="Times New Roman" w:hAnsi="Times New Roman" w:cs="Times New Roman"/>
          <w:lang w:val="en-US"/>
        </w:rPr>
        <w:t>Eur</w:t>
      </w:r>
      <w:proofErr w:type="spellEnd"/>
      <w:r w:rsidRPr="008E560E">
        <w:rPr>
          <w:rFonts w:ascii="Times New Roman" w:hAnsi="Times New Roman" w:cs="Times New Roman"/>
          <w:lang w:val="en-US"/>
        </w:rPr>
        <w:t xml:space="preserve"> J Appl </w:t>
      </w:r>
      <w:proofErr w:type="spellStart"/>
      <w:r w:rsidRPr="008E560E">
        <w:rPr>
          <w:rFonts w:ascii="Times New Roman" w:hAnsi="Times New Roman" w:cs="Times New Roman"/>
          <w:lang w:val="en-US"/>
        </w:rPr>
        <w:t>Physiol</w:t>
      </w:r>
      <w:proofErr w:type="spellEnd"/>
      <w:r w:rsidRPr="008E560E">
        <w:rPr>
          <w:rFonts w:ascii="Times New Roman" w:hAnsi="Times New Roman" w:cs="Times New Roman"/>
          <w:lang w:val="en-US"/>
        </w:rPr>
        <w:t xml:space="preserve"> (2005) 94: 175-179. DOI: 10.1007/s00421-004-1313-0.</w:t>
      </w:r>
    </w:p>
    <w:p w14:paraId="5EE0CC18" w14:textId="77777777" w:rsidR="0041227D" w:rsidRPr="008E560E" w:rsidRDefault="0041227D" w:rsidP="008E560E">
      <w:pPr>
        <w:spacing w:line="360" w:lineRule="auto"/>
        <w:rPr>
          <w:rFonts w:ascii="Times New Roman" w:hAnsi="Times New Roman" w:cs="Times New Roman"/>
          <w:lang w:val="en-US"/>
        </w:rPr>
      </w:pPr>
      <w:r w:rsidRPr="008E560E">
        <w:rPr>
          <w:rFonts w:ascii="Times New Roman" w:hAnsi="Times New Roman" w:cs="Times New Roman"/>
          <w:lang w:val="en-US"/>
        </w:rPr>
        <w:t xml:space="preserve">LEE, E.L.Y.; MALEK, N.F.A.; TAN, K.; PRATAMA, R. S.; MOHAMAD, N. I.; NADZALAN, A. K. The effects of unilateral </w:t>
      </w:r>
      <w:proofErr w:type="spellStart"/>
      <w:r w:rsidRPr="008E560E">
        <w:rPr>
          <w:rFonts w:ascii="Times New Roman" w:hAnsi="Times New Roman" w:cs="Times New Roman"/>
          <w:lang w:val="en-US"/>
        </w:rPr>
        <w:t>verus</w:t>
      </w:r>
      <w:proofErr w:type="spellEnd"/>
      <w:r w:rsidRPr="008E560E">
        <w:rPr>
          <w:rFonts w:ascii="Times New Roman" w:hAnsi="Times New Roman" w:cs="Times New Roman"/>
          <w:lang w:val="en-US"/>
        </w:rPr>
        <w:t xml:space="preserve"> bilateral resistance training adaptation among trained men. 2021 </w:t>
      </w:r>
      <w:r w:rsidRPr="008E560E">
        <w:rPr>
          <w:rFonts w:ascii="Times New Roman" w:hAnsi="Times New Roman" w:cs="Times New Roman"/>
          <w:i/>
          <w:iCs/>
          <w:lang w:val="en-US"/>
        </w:rPr>
        <w:t xml:space="preserve">J. Phys.: Conf. Ser. </w:t>
      </w:r>
      <w:r w:rsidRPr="008E560E">
        <w:rPr>
          <w:rFonts w:ascii="Times New Roman" w:hAnsi="Times New Roman" w:cs="Times New Roman"/>
          <w:bCs/>
          <w:lang w:val="en-US"/>
        </w:rPr>
        <w:t>1793</w:t>
      </w:r>
      <w:r w:rsidRPr="008E560E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8E560E">
        <w:rPr>
          <w:rFonts w:ascii="Times New Roman" w:hAnsi="Times New Roman" w:cs="Times New Roman"/>
          <w:lang w:val="en-US"/>
        </w:rPr>
        <w:t>012057.</w:t>
      </w:r>
    </w:p>
    <w:p w14:paraId="7102AFAC" w14:textId="77777777" w:rsidR="0041227D" w:rsidRPr="008E560E" w:rsidRDefault="0041227D" w:rsidP="008E560E">
      <w:pPr>
        <w:spacing w:line="360" w:lineRule="auto"/>
        <w:rPr>
          <w:rFonts w:ascii="Times New Roman" w:hAnsi="Times New Roman" w:cs="Times New Roman"/>
        </w:rPr>
      </w:pPr>
      <w:r w:rsidRPr="008E560E">
        <w:rPr>
          <w:rFonts w:ascii="Times New Roman" w:hAnsi="Times New Roman" w:cs="Times New Roman"/>
        </w:rPr>
        <w:t xml:space="preserve">LOPES, C. R.; SOARES, E. G.; OENNING, L.; BRIGATTO, F. A.; MARCHETTI, P. H. Sessão de treinamento de força supervisionada aumenta a carga total levantada e as respostas subjetivas em sujeitos treinados. J. </w:t>
      </w:r>
      <w:proofErr w:type="spellStart"/>
      <w:r w:rsidRPr="008E560E">
        <w:rPr>
          <w:rFonts w:ascii="Times New Roman" w:hAnsi="Times New Roman" w:cs="Times New Roman"/>
        </w:rPr>
        <w:t>Phys</w:t>
      </w:r>
      <w:proofErr w:type="spellEnd"/>
      <w:r w:rsidRPr="008E560E">
        <w:rPr>
          <w:rFonts w:ascii="Times New Roman" w:hAnsi="Times New Roman" w:cs="Times New Roman"/>
        </w:rPr>
        <w:t xml:space="preserve">. Educ. v31, e3144, 2020. </w:t>
      </w:r>
    </w:p>
    <w:p w14:paraId="0F1A5C76" w14:textId="77777777" w:rsidR="0041227D" w:rsidRPr="008E560E" w:rsidRDefault="0041227D" w:rsidP="008E560E">
      <w:pPr>
        <w:spacing w:line="360" w:lineRule="auto"/>
        <w:rPr>
          <w:rFonts w:ascii="Times New Roman" w:hAnsi="Times New Roman" w:cs="Times New Roman"/>
        </w:rPr>
      </w:pPr>
      <w:r w:rsidRPr="008E560E">
        <w:rPr>
          <w:rFonts w:ascii="Times New Roman" w:hAnsi="Times New Roman" w:cs="Times New Roman"/>
        </w:rPr>
        <w:t>MARCHETTI, P. H. Investigações sobre o controle motor e postural nas assimetrias em membros inferiores. Universidade de São Paulo. Tese de doutorado. Escola de educação física e esporte da universidade de São Paulo. São Paulo. 2009.</w:t>
      </w:r>
    </w:p>
    <w:p w14:paraId="0159E1D4" w14:textId="77777777" w:rsidR="0041227D" w:rsidRPr="008E560E" w:rsidRDefault="0041227D" w:rsidP="008E560E">
      <w:pPr>
        <w:spacing w:line="360" w:lineRule="auto"/>
        <w:rPr>
          <w:rFonts w:ascii="Times New Roman" w:hAnsi="Times New Roman" w:cs="Times New Roman"/>
          <w:lang w:val="en-US"/>
        </w:rPr>
      </w:pPr>
      <w:r w:rsidRPr="008E560E">
        <w:rPr>
          <w:rFonts w:ascii="Times New Roman" w:hAnsi="Times New Roman" w:cs="Times New Roman"/>
          <w:lang w:val="en-US"/>
        </w:rPr>
        <w:t>MCNAIR, P. J.; DEPLEDGE, J.; BRETTKELLY, M.; STANLEY, N. S. Verbal encouragement: effects on maximum effort voluntary muscle action. Br J Sports Med 1996; 30:243-245.</w:t>
      </w:r>
    </w:p>
    <w:p w14:paraId="70393603" w14:textId="77777777" w:rsidR="0041227D" w:rsidRPr="008E560E" w:rsidRDefault="0041227D" w:rsidP="008E560E">
      <w:pPr>
        <w:spacing w:line="360" w:lineRule="auto"/>
        <w:rPr>
          <w:rFonts w:ascii="Times New Roman" w:hAnsi="Times New Roman" w:cs="Times New Roman"/>
          <w:lang w:val="en-US"/>
        </w:rPr>
      </w:pPr>
      <w:r w:rsidRPr="008E560E">
        <w:rPr>
          <w:rFonts w:ascii="Times New Roman" w:hAnsi="Times New Roman" w:cs="Times New Roman"/>
          <w:lang w:val="en-US"/>
        </w:rPr>
        <w:t xml:space="preserve">SCHANTZ, P. G.; MORITANI, T.; KARLSON, E.; JOHANSSON E. Maximal voluntary force of bilateral and unilateral leg extension. Acta </w:t>
      </w:r>
      <w:proofErr w:type="spellStart"/>
      <w:r w:rsidRPr="008E560E">
        <w:rPr>
          <w:rFonts w:ascii="Times New Roman" w:hAnsi="Times New Roman" w:cs="Times New Roman"/>
          <w:lang w:val="en-US"/>
        </w:rPr>
        <w:t>Physiol</w:t>
      </w:r>
      <w:proofErr w:type="spellEnd"/>
      <w:r w:rsidRPr="008E560E">
        <w:rPr>
          <w:rFonts w:ascii="Times New Roman" w:hAnsi="Times New Roman" w:cs="Times New Roman"/>
          <w:lang w:val="en-US"/>
        </w:rPr>
        <w:t xml:space="preserve"> Scand 1989, 136, 185-192.</w:t>
      </w:r>
    </w:p>
    <w:p w14:paraId="2AA26752" w14:textId="77777777" w:rsidR="007104CC" w:rsidRPr="008E560E" w:rsidRDefault="0041227D" w:rsidP="008E560E">
      <w:pPr>
        <w:spacing w:line="360" w:lineRule="auto"/>
        <w:rPr>
          <w:rFonts w:ascii="Times New Roman" w:hAnsi="Times New Roman" w:cs="Times New Roman"/>
          <w:lang w:val="en-US"/>
        </w:rPr>
      </w:pPr>
      <w:r w:rsidRPr="008E560E">
        <w:rPr>
          <w:rFonts w:ascii="Times New Roman" w:hAnsi="Times New Roman" w:cs="Times New Roman"/>
          <w:lang w:val="en-US"/>
        </w:rPr>
        <w:t xml:space="preserve">TANIGUCHI, Y. Lateral specificity in resistance training: the effect of bilateral and unilateral training. </w:t>
      </w:r>
      <w:proofErr w:type="spellStart"/>
      <w:r w:rsidRPr="008E560E">
        <w:rPr>
          <w:rFonts w:ascii="Times New Roman" w:hAnsi="Times New Roman" w:cs="Times New Roman"/>
          <w:lang w:val="en-US"/>
        </w:rPr>
        <w:t>Eur</w:t>
      </w:r>
      <w:proofErr w:type="spellEnd"/>
      <w:r w:rsidRPr="008E560E">
        <w:rPr>
          <w:rFonts w:ascii="Times New Roman" w:hAnsi="Times New Roman" w:cs="Times New Roman"/>
          <w:lang w:val="en-US"/>
        </w:rPr>
        <w:t xml:space="preserve"> J Appl </w:t>
      </w:r>
      <w:proofErr w:type="spellStart"/>
      <w:r w:rsidRPr="008E560E">
        <w:rPr>
          <w:rFonts w:ascii="Times New Roman" w:hAnsi="Times New Roman" w:cs="Times New Roman"/>
          <w:lang w:val="en-US"/>
        </w:rPr>
        <w:t>Physiol</w:t>
      </w:r>
      <w:proofErr w:type="spellEnd"/>
      <w:r w:rsidRPr="008E560E">
        <w:rPr>
          <w:rFonts w:ascii="Times New Roman" w:hAnsi="Times New Roman" w:cs="Times New Roman"/>
          <w:lang w:val="en-US"/>
        </w:rPr>
        <w:t xml:space="preserve"> (1997) 75: 144-150.</w:t>
      </w:r>
    </w:p>
    <w:sectPr w:rsidR="007104CC" w:rsidRPr="008E560E" w:rsidSect="00B17C21">
      <w:headerReference w:type="default" r:id="rId13"/>
      <w:footerReference w:type="default" r:id="rId14"/>
      <w:pgSz w:w="11906" w:h="16838"/>
      <w:pgMar w:top="1440" w:right="1700" w:bottom="1440" w:left="1985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5D51F" w14:textId="77777777" w:rsidR="00A90F5A" w:rsidRDefault="00A90F5A" w:rsidP="00542851">
      <w:r>
        <w:separator/>
      </w:r>
    </w:p>
  </w:endnote>
  <w:endnote w:type="continuationSeparator" w:id="0">
    <w:p w14:paraId="5BB6A2E7" w14:textId="77777777" w:rsidR="00A90F5A" w:rsidRDefault="00A90F5A" w:rsidP="0054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03D7B" w14:textId="767138C3" w:rsidR="00542851" w:rsidRPr="00F0326B" w:rsidRDefault="00542851" w:rsidP="00542851">
    <w:pPr>
      <w:pStyle w:val="Pargrafobsico"/>
      <w:rPr>
        <w:rFonts w:ascii="Arial" w:hAnsi="Arial" w:cs="Arial"/>
        <w:color w:val="676866"/>
        <w:sz w:val="16"/>
        <w:szCs w:val="16"/>
      </w:rPr>
    </w:pPr>
    <w:r w:rsidRPr="00F0326B">
      <w:rPr>
        <w:rFonts w:ascii="Arial" w:hAnsi="Arial" w:cs="Arial"/>
        <w:noProof/>
        <w:lang w:eastAsia="pt-BR"/>
      </w:rPr>
      <w:drawing>
        <wp:anchor distT="0" distB="0" distL="114300" distR="114300" simplePos="0" relativeHeight="251658240" behindDoc="1" locked="0" layoutInCell="1" allowOverlap="1" wp14:anchorId="00561B15" wp14:editId="569EE22B">
          <wp:simplePos x="0" y="0"/>
          <wp:positionH relativeFrom="page">
            <wp:align>right</wp:align>
          </wp:positionH>
          <wp:positionV relativeFrom="paragraph">
            <wp:posOffset>-837106</wp:posOffset>
          </wp:positionV>
          <wp:extent cx="5672455" cy="1348105"/>
          <wp:effectExtent l="0" t="0" r="4445" b="4445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2455" cy="1348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71FD19" w14:textId="5BE37EDC" w:rsidR="00542851" w:rsidRPr="00542851" w:rsidRDefault="005428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BCD95" w14:textId="77777777" w:rsidR="00A90F5A" w:rsidRDefault="00A90F5A" w:rsidP="00542851">
      <w:r>
        <w:separator/>
      </w:r>
    </w:p>
  </w:footnote>
  <w:footnote w:type="continuationSeparator" w:id="0">
    <w:p w14:paraId="03E00FB8" w14:textId="77777777" w:rsidR="00A90F5A" w:rsidRDefault="00A90F5A" w:rsidP="00542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3F47" w14:textId="7D9294D4" w:rsidR="00542851" w:rsidRDefault="00542851" w:rsidP="008E5D17">
    <w:pPr>
      <w:pStyle w:val="Cabealho"/>
      <w:jc w:val="right"/>
    </w:pPr>
  </w:p>
  <w:p w14:paraId="555614B5" w14:textId="76FB77F8" w:rsidR="004E5CF4" w:rsidRDefault="004E5CF4">
    <w:pPr>
      <w:pStyle w:val="Cabealho"/>
    </w:pPr>
  </w:p>
  <w:p w14:paraId="2836520B" w14:textId="77777777" w:rsidR="004E5CF4" w:rsidRDefault="004E5C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0B81"/>
    <w:multiLevelType w:val="hybridMultilevel"/>
    <w:tmpl w:val="1D06D5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8340E"/>
    <w:multiLevelType w:val="hybridMultilevel"/>
    <w:tmpl w:val="73804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23B5C"/>
    <w:multiLevelType w:val="hybridMultilevel"/>
    <w:tmpl w:val="DCBCAA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60AA8"/>
    <w:multiLevelType w:val="hybridMultilevel"/>
    <w:tmpl w:val="F418F7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02541">
    <w:abstractNumId w:val="1"/>
  </w:num>
  <w:num w:numId="2" w16cid:durableId="734162860">
    <w:abstractNumId w:val="0"/>
  </w:num>
  <w:num w:numId="3" w16cid:durableId="1564832404">
    <w:abstractNumId w:val="2"/>
  </w:num>
  <w:num w:numId="4" w16cid:durableId="776026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851"/>
    <w:rsid w:val="000122B8"/>
    <w:rsid w:val="00046BBA"/>
    <w:rsid w:val="000B6757"/>
    <w:rsid w:val="000F6C23"/>
    <w:rsid w:val="001236F3"/>
    <w:rsid w:val="001A3042"/>
    <w:rsid w:val="00321E05"/>
    <w:rsid w:val="00341101"/>
    <w:rsid w:val="0041227D"/>
    <w:rsid w:val="00475C9A"/>
    <w:rsid w:val="0048260B"/>
    <w:rsid w:val="004C4108"/>
    <w:rsid w:val="004E5CF4"/>
    <w:rsid w:val="00542851"/>
    <w:rsid w:val="00582B55"/>
    <w:rsid w:val="005915F4"/>
    <w:rsid w:val="006D3F8B"/>
    <w:rsid w:val="007104CC"/>
    <w:rsid w:val="00793ABF"/>
    <w:rsid w:val="007E3E5B"/>
    <w:rsid w:val="00882D38"/>
    <w:rsid w:val="00895FB2"/>
    <w:rsid w:val="008E560E"/>
    <w:rsid w:val="008E5D17"/>
    <w:rsid w:val="00936160"/>
    <w:rsid w:val="009E38EE"/>
    <w:rsid w:val="00A90F5A"/>
    <w:rsid w:val="00B17C21"/>
    <w:rsid w:val="00B21257"/>
    <w:rsid w:val="00B312DE"/>
    <w:rsid w:val="00B657BC"/>
    <w:rsid w:val="00B678C4"/>
    <w:rsid w:val="00B95E7F"/>
    <w:rsid w:val="00BD53F4"/>
    <w:rsid w:val="00CF2FF2"/>
    <w:rsid w:val="00D22CAB"/>
    <w:rsid w:val="00D80A3A"/>
    <w:rsid w:val="00E468F4"/>
    <w:rsid w:val="00E4715D"/>
    <w:rsid w:val="00E75BB6"/>
    <w:rsid w:val="00F0326B"/>
    <w:rsid w:val="00F6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0DEE6BE"/>
  <w15:chartTrackingRefBased/>
  <w15:docId w15:val="{8E6B2216-A996-439E-B041-A650F55F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257"/>
    <w:pPr>
      <w:spacing w:after="0" w:line="240" w:lineRule="auto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12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2851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42851"/>
  </w:style>
  <w:style w:type="paragraph" w:styleId="Rodap">
    <w:name w:val="footer"/>
    <w:basedOn w:val="Normal"/>
    <w:link w:val="RodapChar"/>
    <w:uiPriority w:val="99"/>
    <w:unhideWhenUsed/>
    <w:rsid w:val="00542851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542851"/>
  </w:style>
  <w:style w:type="paragraph" w:customStyle="1" w:styleId="Pargrafobsico">
    <w:name w:val="[Parágrafo básico]"/>
    <w:basedOn w:val="Normal"/>
    <w:uiPriority w:val="99"/>
    <w:rsid w:val="0054285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Fontepargpadro"/>
    <w:uiPriority w:val="99"/>
    <w:unhideWhenUsed/>
    <w:rsid w:val="00B17C2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17C21"/>
    <w:pPr>
      <w:ind w:left="720"/>
      <w:contextualSpacing/>
    </w:pPr>
    <w:rPr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12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nimate">
    <w:name w:val="animate"/>
    <w:basedOn w:val="Normal"/>
    <w:rsid w:val="00B212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Legenda">
    <w:name w:val="caption"/>
    <w:basedOn w:val="Normal"/>
    <w:next w:val="Normal"/>
    <w:qFormat/>
    <w:rsid w:val="007104C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Padro">
    <w:name w:val="Padrão"/>
    <w:rsid w:val="007104CC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40" w:lineRule="auto"/>
    </w:pPr>
    <w:rPr>
      <w:rFonts w:ascii="Microsoft YaHei" w:eastAsia="Microsoft YaHei" w:hAnsi="Times New Roman" w:cs="Microsoft YaHei"/>
      <w:color w:val="333333"/>
      <w:sz w:val="48"/>
      <w:szCs w:val="48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B678C4"/>
    <w:rPr>
      <w:color w:val="605E5C"/>
      <w:shd w:val="clear" w:color="auto" w:fill="E1DFDD"/>
    </w:rPr>
  </w:style>
  <w:style w:type="character" w:styleId="nfaseSutil">
    <w:name w:val="Subtle Emphasis"/>
    <w:basedOn w:val="Fontepargpadro"/>
    <w:uiPriority w:val="19"/>
    <w:qFormat/>
    <w:rsid w:val="0041227D"/>
    <w:rPr>
      <w:i/>
      <w:iCs/>
    </w:rPr>
  </w:style>
  <w:style w:type="table" w:styleId="SombreamentoClaro-nfase1">
    <w:name w:val="Light Shading Accent 1"/>
    <w:basedOn w:val="Tabelanormal"/>
    <w:uiPriority w:val="60"/>
    <w:rsid w:val="0041227D"/>
    <w:pPr>
      <w:spacing w:after="0" w:line="240" w:lineRule="auto"/>
    </w:pPr>
    <w:rPr>
      <w:rFonts w:eastAsiaTheme="minorEastAsia"/>
      <w:color w:val="2F5496" w:themeColor="accent1" w:themeShade="BF"/>
      <w:lang w:eastAsia="pt-BR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SemEspaamento">
    <w:name w:val="No Spacing"/>
    <w:uiPriority w:val="1"/>
    <w:qFormat/>
    <w:rsid w:val="0041227D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41227D"/>
    <w:rPr>
      <w:rFonts w:eastAsiaTheme="minorEastAsia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1227D"/>
    <w:rPr>
      <w:rFonts w:eastAsiaTheme="minorEastAsia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ironlima10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Pasta1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Planilha1!$C$6</c:f>
              <c:strCache>
                <c:ptCount val="1"/>
                <c:pt idx="0">
                  <c:v>tb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errBars>
            <c:errDir val="x"/>
            <c:errBarType val="both"/>
            <c:errValType val="fixedVal"/>
            <c:noEndCap val="0"/>
            <c:val val="1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yVal>
            <c:numRef>
              <c:f>Planilha1!$C$7:$C$8</c:f>
              <c:numCache>
                <c:formatCode>General</c:formatCode>
                <c:ptCount val="2"/>
                <c:pt idx="0">
                  <c:v>0.05</c:v>
                </c:pt>
                <c:pt idx="1">
                  <c:v>0.28000000000000003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8F7A-46F6-B33B-D0A25D16DB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5620576"/>
        <c:axId val="275620904"/>
      </c:scatterChart>
      <c:valAx>
        <c:axId val="275620576"/>
        <c:scaling>
          <c:orientation val="minMax"/>
          <c:min val="-3.5"/>
        </c:scaling>
        <c:delete val="0"/>
        <c:axPos val="b"/>
        <c:majorGridlines>
          <c:spPr>
            <a:ln w="6350" cap="flat" cmpd="sng" algn="ctr">
              <a:noFill/>
              <a:prstDash val="solid"/>
              <a:miter lim="800000"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Delta</a:t>
                </a:r>
                <a:r>
                  <a:rPr lang="pt-BR" baseline="0"/>
                  <a:t> de Glass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75620904"/>
        <c:crosses val="autoZero"/>
        <c:crossBetween val="midCat"/>
      </c:valAx>
      <c:valAx>
        <c:axId val="275620904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-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out"/>
        <c:minorTickMark val="none"/>
        <c:tickLblPos val="nextTo"/>
        <c:crossAx val="27562057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pt-BR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2.18723E-7</cdr:x>
      <cdr:y>0.1059</cdr:y>
    </cdr:from>
    <cdr:to>
      <cdr:x>0.1</cdr:x>
      <cdr:y>0.26563</cdr:y>
    </cdr:to>
    <cdr:sp macro="" textlink="">
      <cdr:nvSpPr>
        <cdr:cNvPr id="3" name="CaixaDeTexto 2"/>
        <cdr:cNvSpPr txBox="1"/>
      </cdr:nvSpPr>
      <cdr:spPr>
        <a:xfrm xmlns:a="http://schemas.openxmlformats.org/drawingml/2006/main">
          <a:off x="1" y="290514"/>
          <a:ext cx="457200" cy="4381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t-BR" sz="1100"/>
        </a:p>
        <a:p xmlns:a="http://schemas.openxmlformats.org/drawingml/2006/main">
          <a:endParaRPr lang="pt-BR" sz="1100"/>
        </a:p>
      </cdr:txBody>
    </cdr:sp>
  </cdr:relSizeAnchor>
  <cdr:relSizeAnchor xmlns:cdr="http://schemas.openxmlformats.org/drawingml/2006/chartDrawing">
    <cdr:from>
      <cdr:x>0.00744</cdr:x>
      <cdr:y>0.05367</cdr:y>
    </cdr:from>
    <cdr:to>
      <cdr:x>0.19911</cdr:x>
      <cdr:y>0.36617</cdr:y>
    </cdr:to>
    <cdr:sp macro="" textlink="">
      <cdr:nvSpPr>
        <cdr:cNvPr id="4" name="CaixaDeTexto 3"/>
        <cdr:cNvSpPr txBox="1"/>
      </cdr:nvSpPr>
      <cdr:spPr>
        <a:xfrm xmlns:a="http://schemas.openxmlformats.org/drawingml/2006/main">
          <a:off x="29261" y="120654"/>
          <a:ext cx="753996" cy="7024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t-BR" sz="1000"/>
            <a:t>TU</a:t>
          </a:r>
        </a:p>
        <a:p xmlns:a="http://schemas.openxmlformats.org/drawingml/2006/main">
          <a:endParaRPr lang="pt-BR" sz="1100"/>
        </a:p>
      </cdr:txBody>
    </cdr:sp>
  </cdr:relSizeAnchor>
  <cdr:relSizeAnchor xmlns:cdr="http://schemas.openxmlformats.org/drawingml/2006/chartDrawing">
    <cdr:from>
      <cdr:x>0.01116</cdr:x>
      <cdr:y>0.62917</cdr:y>
    </cdr:from>
    <cdr:to>
      <cdr:x>0.1896</cdr:x>
      <cdr:y>0.92777</cdr:y>
    </cdr:to>
    <cdr:sp macro="" textlink="">
      <cdr:nvSpPr>
        <cdr:cNvPr id="5" name="CaixaDeTexto 4"/>
        <cdr:cNvSpPr txBox="1"/>
      </cdr:nvSpPr>
      <cdr:spPr>
        <a:xfrm xmlns:a="http://schemas.openxmlformats.org/drawingml/2006/main">
          <a:off x="52873" y="1912517"/>
          <a:ext cx="845402" cy="9076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t-BR" sz="1000"/>
            <a:t>TB</a:t>
          </a:r>
        </a:p>
        <a:p xmlns:a="http://schemas.openxmlformats.org/drawingml/2006/main">
          <a:endParaRPr lang="pt-BR" sz="1100"/>
        </a:p>
      </cdr:txBody>
    </cdr:sp>
  </cdr:relSizeAnchor>
  <cdr:relSizeAnchor xmlns:cdr="http://schemas.openxmlformats.org/drawingml/2006/chartDrawing">
    <cdr:from>
      <cdr:x>0.08201</cdr:x>
      <cdr:y>0.0215</cdr:y>
    </cdr:from>
    <cdr:to>
      <cdr:x>0.08522</cdr:x>
      <cdr:y>0.79696</cdr:y>
    </cdr:to>
    <cdr:cxnSp macro="">
      <cdr:nvCxnSpPr>
        <cdr:cNvPr id="11" name="Conector reto 10"/>
        <cdr:cNvCxnSpPr/>
      </cdr:nvCxnSpPr>
      <cdr:spPr>
        <a:xfrm xmlns:a="http://schemas.openxmlformats.org/drawingml/2006/main" flipH="1" flipV="1">
          <a:off x="388543" y="65355"/>
          <a:ext cx="15218" cy="235721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0.49322</cdr:x>
      <cdr:y>0.01563</cdr:y>
    </cdr:from>
    <cdr:to>
      <cdr:x>0.52387</cdr:x>
      <cdr:y>0.81217</cdr:y>
    </cdr:to>
    <cdr:sp macro="" textlink="">
      <cdr:nvSpPr>
        <cdr:cNvPr id="12" name="Retângulo 11"/>
        <cdr:cNvSpPr/>
      </cdr:nvSpPr>
      <cdr:spPr>
        <a:xfrm xmlns:a="http://schemas.openxmlformats.org/drawingml/2006/main">
          <a:off x="2336729" y="47501"/>
          <a:ext cx="145213" cy="2421300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3">
            <a:shade val="50000"/>
          </a:schemeClr>
        </a:lnRef>
        <a:fillRef xmlns:a="http://schemas.openxmlformats.org/drawingml/2006/main" idx="1">
          <a:schemeClr val="accent3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endParaRPr lang="pt-BR"/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07189212B84D4A87E4B57D7BFC85DA" ma:contentTypeVersion="0" ma:contentTypeDescription="Crie um novo documento." ma:contentTypeScope="" ma:versionID="9d2802b45eca0bb9e8409ebf72966e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bc818cf1145989097f6375b3efe2c9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7E9BA-C30D-4191-9FF1-4C5358DC49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19326E-6964-4158-9724-F4367C5A5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AF7E87-8F33-4532-A6BB-B5EE0CAE30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1593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Papini</dc:creator>
  <cp:keywords/>
  <dc:description/>
  <cp:lastModifiedBy>Airon Lima</cp:lastModifiedBy>
  <cp:revision>2</cp:revision>
  <dcterms:created xsi:type="dcterms:W3CDTF">2023-10-12T02:20:00Z</dcterms:created>
  <dcterms:modified xsi:type="dcterms:W3CDTF">2023-10-12T02:20:00Z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0x010100F507189212B84D4A87E4B57D7BFC85DA</vt:lpwstr>
  </property>
</Properties>
</file>