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D0803" w14:textId="77777777" w:rsidR="00CF3A69" w:rsidRPr="00A63772" w:rsidRDefault="00CF3A69" w:rsidP="005F0D71">
      <w:pPr>
        <w:jc w:val="both"/>
        <w:rPr>
          <w:rFonts w:ascii="Arial" w:hAnsi="Arial" w:cs="Arial"/>
          <w:b/>
          <w:sz w:val="2"/>
          <w:szCs w:val="2"/>
        </w:rPr>
      </w:pPr>
    </w:p>
    <w:p w14:paraId="1CC876DE" w14:textId="35A63AE3" w:rsidR="00940CC8" w:rsidRPr="007B507C" w:rsidRDefault="00A63772" w:rsidP="005F0D71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7B507C">
        <w:rPr>
          <w:rFonts w:ascii="Arial" w:hAnsi="Arial" w:cs="Arial"/>
          <w:b/>
        </w:rPr>
        <w:t>AVALIAÇÃO DA TOXICIDADE DE DERMOCOSMÉTICOS FRENTE AO BIOENSAIO DE ARTEMIA SALINA LEACH: UM ALERTA PARA A POPULAÇÃO</w:t>
      </w:r>
    </w:p>
    <w:p w14:paraId="4E4526C2" w14:textId="2DE4D908" w:rsidR="005F0D71" w:rsidRPr="005F0D71" w:rsidRDefault="007B507C" w:rsidP="005F0D71">
      <w:pPr>
        <w:spacing w:after="120" w:line="360" w:lineRule="auto"/>
        <w:jc w:val="both"/>
        <w:rPr>
          <w:rFonts w:ascii="Arial" w:hAnsi="Arial" w:cs="Arial"/>
        </w:rPr>
      </w:pPr>
      <w:r w:rsidRPr="007B507C">
        <w:rPr>
          <w:rFonts w:ascii="Arial" w:hAnsi="Arial" w:cs="Arial"/>
          <w:color w:val="000000"/>
        </w:rPr>
        <w:br/>
      </w:r>
      <w:r w:rsidR="005F0D71" w:rsidRPr="005F0D71">
        <w:rPr>
          <w:rFonts w:ascii="Arial" w:hAnsi="Arial" w:cs="Arial"/>
        </w:rPr>
        <w:t>Bea</w:t>
      </w:r>
      <w:r w:rsidR="005F0D71">
        <w:rPr>
          <w:rFonts w:ascii="Arial" w:hAnsi="Arial" w:cs="Arial"/>
        </w:rPr>
        <w:t xml:space="preserve">triz Santos Costa – </w:t>
      </w:r>
      <w:proofErr w:type="spellStart"/>
      <w:r w:rsidR="005F0D71">
        <w:rPr>
          <w:rFonts w:ascii="Arial" w:hAnsi="Arial" w:cs="Arial"/>
        </w:rPr>
        <w:t>UniCuritiba</w:t>
      </w:r>
      <w:proofErr w:type="spellEnd"/>
      <w:r w:rsidR="005F0D71">
        <w:rPr>
          <w:rFonts w:ascii="Arial" w:hAnsi="Arial" w:cs="Arial"/>
        </w:rPr>
        <w:t xml:space="preserve">; </w:t>
      </w:r>
      <w:proofErr w:type="spellStart"/>
      <w:r w:rsidR="005F0D71" w:rsidRPr="005F0D71">
        <w:rPr>
          <w:rFonts w:ascii="Arial" w:hAnsi="Arial" w:cs="Arial"/>
        </w:rPr>
        <w:t>Gabri</w:t>
      </w:r>
      <w:r w:rsidR="005F0D71">
        <w:rPr>
          <w:rFonts w:ascii="Arial" w:hAnsi="Arial" w:cs="Arial"/>
        </w:rPr>
        <w:t>eli</w:t>
      </w:r>
      <w:proofErr w:type="spellEnd"/>
      <w:r w:rsidR="005F0D71">
        <w:rPr>
          <w:rFonts w:ascii="Arial" w:hAnsi="Arial" w:cs="Arial"/>
        </w:rPr>
        <w:t xml:space="preserve"> </w:t>
      </w:r>
      <w:proofErr w:type="spellStart"/>
      <w:r w:rsidR="005F0D71">
        <w:rPr>
          <w:rFonts w:ascii="Arial" w:hAnsi="Arial" w:cs="Arial"/>
        </w:rPr>
        <w:t>Wouk</w:t>
      </w:r>
      <w:proofErr w:type="spellEnd"/>
      <w:r w:rsidR="005F0D71">
        <w:rPr>
          <w:rFonts w:ascii="Arial" w:hAnsi="Arial" w:cs="Arial"/>
        </w:rPr>
        <w:t xml:space="preserve"> de Lima – </w:t>
      </w:r>
      <w:proofErr w:type="spellStart"/>
      <w:r w:rsidR="005F0D71">
        <w:rPr>
          <w:rFonts w:ascii="Arial" w:hAnsi="Arial" w:cs="Arial"/>
        </w:rPr>
        <w:t>UniCuritiba</w:t>
      </w:r>
      <w:proofErr w:type="spellEnd"/>
      <w:r w:rsidR="005F0D71">
        <w:rPr>
          <w:rFonts w:ascii="Arial" w:hAnsi="Arial" w:cs="Arial"/>
        </w:rPr>
        <w:t xml:space="preserve">; </w:t>
      </w:r>
      <w:proofErr w:type="spellStart"/>
      <w:r w:rsidR="005F0D71">
        <w:rPr>
          <w:rFonts w:ascii="Arial" w:hAnsi="Arial" w:cs="Arial"/>
        </w:rPr>
        <w:t>Railson</w:t>
      </w:r>
      <w:proofErr w:type="spellEnd"/>
      <w:r w:rsidR="005F0D71">
        <w:rPr>
          <w:rFonts w:ascii="Arial" w:hAnsi="Arial" w:cs="Arial"/>
        </w:rPr>
        <w:t xml:space="preserve"> Pereira – IBMR; </w:t>
      </w:r>
      <w:r w:rsidR="005F0D71" w:rsidRPr="005F0D71">
        <w:rPr>
          <w:rFonts w:ascii="Arial" w:hAnsi="Arial" w:cs="Arial"/>
        </w:rPr>
        <w:t xml:space="preserve">Maria Eduarda da </w:t>
      </w:r>
      <w:r w:rsidR="005F0D71">
        <w:rPr>
          <w:rFonts w:ascii="Arial" w:hAnsi="Arial" w:cs="Arial"/>
        </w:rPr>
        <w:t xml:space="preserve">Silva de Camargo – </w:t>
      </w:r>
      <w:proofErr w:type="spellStart"/>
      <w:r w:rsidR="005F0D71">
        <w:rPr>
          <w:rFonts w:ascii="Arial" w:hAnsi="Arial" w:cs="Arial"/>
        </w:rPr>
        <w:t>UniCuritiba</w:t>
      </w:r>
      <w:proofErr w:type="spellEnd"/>
      <w:r w:rsidR="005F0D71">
        <w:rPr>
          <w:rFonts w:ascii="Arial" w:hAnsi="Arial" w:cs="Arial"/>
        </w:rPr>
        <w:t xml:space="preserve">; </w:t>
      </w:r>
      <w:r w:rsidR="005F0D71" w:rsidRPr="005F0D71">
        <w:rPr>
          <w:rFonts w:ascii="Arial" w:hAnsi="Arial" w:cs="Arial"/>
        </w:rPr>
        <w:t>Rebec</w:t>
      </w:r>
      <w:r w:rsidR="005F0D71">
        <w:rPr>
          <w:rFonts w:ascii="Arial" w:hAnsi="Arial" w:cs="Arial"/>
        </w:rPr>
        <w:t xml:space="preserve">a Maria </w:t>
      </w:r>
      <w:proofErr w:type="spellStart"/>
      <w:r w:rsidR="005F0D71">
        <w:rPr>
          <w:rFonts w:ascii="Arial" w:hAnsi="Arial" w:cs="Arial"/>
        </w:rPr>
        <w:t>Zaramela</w:t>
      </w:r>
      <w:proofErr w:type="spellEnd"/>
      <w:r w:rsidR="005F0D71">
        <w:rPr>
          <w:rFonts w:ascii="Arial" w:hAnsi="Arial" w:cs="Arial"/>
        </w:rPr>
        <w:t xml:space="preserve"> – </w:t>
      </w:r>
      <w:proofErr w:type="spellStart"/>
      <w:r w:rsidR="005F0D71">
        <w:rPr>
          <w:rFonts w:ascii="Arial" w:hAnsi="Arial" w:cs="Arial"/>
        </w:rPr>
        <w:t>UniCuritiba</w:t>
      </w:r>
      <w:proofErr w:type="spellEnd"/>
      <w:r w:rsidR="005F0D71">
        <w:rPr>
          <w:rFonts w:ascii="Arial" w:hAnsi="Arial" w:cs="Arial"/>
        </w:rPr>
        <w:t xml:space="preserve">; </w:t>
      </w:r>
      <w:r w:rsidR="005F0D71" w:rsidRPr="005F0D71">
        <w:rPr>
          <w:rFonts w:ascii="Arial" w:hAnsi="Arial" w:cs="Arial"/>
        </w:rPr>
        <w:t xml:space="preserve">Amanda </w:t>
      </w:r>
      <w:proofErr w:type="spellStart"/>
      <w:r w:rsidR="005F0D71" w:rsidRPr="005F0D71">
        <w:rPr>
          <w:rFonts w:ascii="Arial" w:hAnsi="Arial" w:cs="Arial"/>
        </w:rPr>
        <w:t>Bandoch</w:t>
      </w:r>
      <w:proofErr w:type="spellEnd"/>
      <w:r w:rsidR="005F0D71" w:rsidRPr="005F0D71">
        <w:rPr>
          <w:rFonts w:ascii="Arial" w:hAnsi="Arial" w:cs="Arial"/>
        </w:rPr>
        <w:t xml:space="preserve"> de Souza – </w:t>
      </w:r>
      <w:proofErr w:type="spellStart"/>
      <w:proofErr w:type="gramStart"/>
      <w:r w:rsidR="005F0D71" w:rsidRPr="005F0D71">
        <w:rPr>
          <w:rFonts w:ascii="Arial" w:hAnsi="Arial" w:cs="Arial"/>
        </w:rPr>
        <w:t>Unisociesc</w:t>
      </w:r>
      <w:proofErr w:type="spellEnd"/>
      <w:r w:rsidR="005F0D71" w:rsidRPr="005F0D71">
        <w:rPr>
          <w:rFonts w:ascii="Arial" w:hAnsi="Arial" w:cs="Arial"/>
        </w:rPr>
        <w:t>;;</w:t>
      </w:r>
      <w:proofErr w:type="gramEnd"/>
    </w:p>
    <w:p w14:paraId="0E3BA106" w14:textId="508C674A" w:rsidR="005F0D71" w:rsidRPr="005F0D71" w:rsidRDefault="005F0D71" w:rsidP="005F0D71">
      <w:pPr>
        <w:spacing w:after="120" w:line="360" w:lineRule="auto"/>
        <w:jc w:val="both"/>
        <w:rPr>
          <w:rFonts w:ascii="Arial" w:hAnsi="Arial" w:cs="Arial"/>
        </w:rPr>
      </w:pPr>
      <w:r w:rsidRPr="005F0D71">
        <w:rPr>
          <w:rFonts w:ascii="Arial" w:hAnsi="Arial" w:cs="Arial"/>
        </w:rPr>
        <w:t>Matheus V</w:t>
      </w:r>
      <w:r>
        <w:rPr>
          <w:rFonts w:ascii="Arial" w:hAnsi="Arial" w:cs="Arial"/>
        </w:rPr>
        <w:t xml:space="preserve">entura Cristiano – </w:t>
      </w:r>
      <w:proofErr w:type="spellStart"/>
      <w:r>
        <w:rPr>
          <w:rFonts w:ascii="Arial" w:hAnsi="Arial" w:cs="Arial"/>
        </w:rPr>
        <w:t>UniCuritiba</w:t>
      </w:r>
      <w:proofErr w:type="spellEnd"/>
      <w:r>
        <w:rPr>
          <w:rFonts w:ascii="Arial" w:hAnsi="Arial" w:cs="Arial"/>
        </w:rPr>
        <w:t xml:space="preserve">; </w:t>
      </w:r>
      <w:r w:rsidRPr="005F0D71">
        <w:rPr>
          <w:rFonts w:ascii="Arial" w:hAnsi="Arial" w:cs="Arial"/>
        </w:rPr>
        <w:t xml:space="preserve">Tiago Carvalho Sales – </w:t>
      </w:r>
      <w:proofErr w:type="spellStart"/>
      <w:r w:rsidRPr="005F0D71">
        <w:rPr>
          <w:rFonts w:ascii="Arial" w:hAnsi="Arial" w:cs="Arial"/>
        </w:rPr>
        <w:t>UniCuritiba</w:t>
      </w:r>
      <w:proofErr w:type="spellEnd"/>
    </w:p>
    <w:p w14:paraId="53F47490" w14:textId="209D1456" w:rsidR="00E70A5B" w:rsidRPr="007B507C" w:rsidRDefault="005F0D71" w:rsidP="005F0D71">
      <w:pPr>
        <w:spacing w:after="120" w:line="360" w:lineRule="auto"/>
        <w:jc w:val="both"/>
        <w:rPr>
          <w:rFonts w:ascii="Arial" w:hAnsi="Arial" w:cs="Arial"/>
        </w:rPr>
      </w:pPr>
      <w:r w:rsidRPr="005F0D71">
        <w:rPr>
          <w:rFonts w:ascii="Arial" w:hAnsi="Arial" w:cs="Arial"/>
        </w:rPr>
        <w:t>(</w:t>
      </w:r>
      <w:proofErr w:type="spellStart"/>
      <w:r w:rsidRPr="005F0D71">
        <w:rPr>
          <w:rFonts w:ascii="Arial" w:hAnsi="Arial" w:cs="Arial"/>
        </w:rPr>
        <w:t>Prof</w:t>
      </w:r>
      <w:proofErr w:type="spellEnd"/>
      <w:r w:rsidRPr="005F0D71">
        <w:rPr>
          <w:rFonts w:ascii="Arial" w:hAnsi="Arial" w:cs="Arial"/>
        </w:rPr>
        <w:t xml:space="preserve"> Dra.) Fernanda </w:t>
      </w:r>
      <w:proofErr w:type="spellStart"/>
      <w:r w:rsidRPr="005F0D71">
        <w:rPr>
          <w:rFonts w:ascii="Arial" w:hAnsi="Arial" w:cs="Arial"/>
        </w:rPr>
        <w:t>Bovo</w:t>
      </w:r>
      <w:proofErr w:type="spellEnd"/>
      <w:r w:rsidRPr="005F0D71">
        <w:rPr>
          <w:rFonts w:ascii="Arial" w:hAnsi="Arial" w:cs="Arial"/>
        </w:rPr>
        <w:t xml:space="preserve"> – </w:t>
      </w:r>
      <w:proofErr w:type="spellStart"/>
      <w:r w:rsidRPr="005F0D71">
        <w:rPr>
          <w:rFonts w:ascii="Arial" w:hAnsi="Arial" w:cs="Arial"/>
        </w:rPr>
        <w:t>UniCuritiba</w:t>
      </w:r>
      <w:proofErr w:type="spellEnd"/>
      <w:r w:rsidRPr="005F0D71">
        <w:rPr>
          <w:rFonts w:ascii="Arial" w:hAnsi="Arial" w:cs="Arial"/>
        </w:rPr>
        <w:t>.</w:t>
      </w:r>
    </w:p>
    <w:p w14:paraId="31168F11" w14:textId="614A0EEC" w:rsidR="00E70A5B" w:rsidRPr="00E70A5B" w:rsidRDefault="00E70A5B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7B507C">
        <w:rPr>
          <w:rFonts w:ascii="Arial" w:hAnsi="Arial" w:cs="Arial"/>
          <w:sz w:val="24"/>
          <w:szCs w:val="24"/>
        </w:rPr>
        <w:t>RESUMO</w:t>
      </w:r>
      <w:r w:rsidRPr="007B507C">
        <w:rPr>
          <w:rFonts w:ascii="Arial" w:hAnsi="Arial" w:cs="Arial"/>
          <w:sz w:val="24"/>
          <w:szCs w:val="24"/>
        </w:rPr>
        <w:br/>
      </w:r>
      <w:r w:rsidRPr="00E70A5B">
        <w:rPr>
          <w:rFonts w:ascii="Arial" w:hAnsi="Arial" w:cs="Arial"/>
          <w:b w:val="0"/>
          <w:bCs w:val="0"/>
          <w:sz w:val="24"/>
          <w:szCs w:val="24"/>
        </w:rPr>
        <w:t xml:space="preserve">O estudo avaliou a toxicidade de cosméticos e dermocosméticos utilizando o </w:t>
      </w:r>
      <w:proofErr w:type="spellStart"/>
      <w:r w:rsidRPr="00E70A5B">
        <w:rPr>
          <w:rFonts w:ascii="Arial" w:hAnsi="Arial" w:cs="Arial"/>
          <w:b w:val="0"/>
          <w:bCs w:val="0"/>
          <w:sz w:val="24"/>
          <w:szCs w:val="24"/>
        </w:rPr>
        <w:t>bioensaio</w:t>
      </w:r>
      <w:proofErr w:type="spellEnd"/>
      <w:r w:rsidRPr="00E70A5B">
        <w:rPr>
          <w:rFonts w:ascii="Arial" w:hAnsi="Arial" w:cs="Arial"/>
          <w:b w:val="0"/>
          <w:bCs w:val="0"/>
          <w:sz w:val="24"/>
          <w:szCs w:val="24"/>
        </w:rPr>
        <w:t xml:space="preserve"> com </w:t>
      </w:r>
      <w:proofErr w:type="spellStart"/>
      <w:r w:rsidRPr="007B507C">
        <w:rPr>
          <w:rFonts w:ascii="Arial" w:hAnsi="Arial" w:cs="Arial"/>
          <w:b w:val="0"/>
          <w:bCs w:val="0"/>
          <w:sz w:val="24"/>
          <w:szCs w:val="24"/>
        </w:rPr>
        <w:t>Artemia</w:t>
      </w:r>
      <w:proofErr w:type="spellEnd"/>
      <w:r w:rsidRPr="007B507C">
        <w:rPr>
          <w:rFonts w:ascii="Arial" w:hAnsi="Arial" w:cs="Arial"/>
          <w:b w:val="0"/>
          <w:bCs w:val="0"/>
          <w:sz w:val="24"/>
          <w:szCs w:val="24"/>
        </w:rPr>
        <w:t xml:space="preserve"> salina</w:t>
      </w:r>
      <w:r w:rsidRPr="00E70A5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E70A5B">
        <w:rPr>
          <w:rFonts w:ascii="Arial" w:hAnsi="Arial" w:cs="Arial"/>
          <w:b w:val="0"/>
          <w:bCs w:val="0"/>
          <w:sz w:val="24"/>
          <w:szCs w:val="24"/>
        </w:rPr>
        <w:t>Leach</w:t>
      </w:r>
      <w:proofErr w:type="spellEnd"/>
      <w:r w:rsidRPr="00E70A5B">
        <w:rPr>
          <w:rFonts w:ascii="Arial" w:hAnsi="Arial" w:cs="Arial"/>
          <w:b w:val="0"/>
          <w:bCs w:val="0"/>
          <w:sz w:val="24"/>
          <w:szCs w:val="24"/>
        </w:rPr>
        <w:t xml:space="preserve"> como ferramenta de triagem. Foram testadas seis formulações em triplicata, após preparo da solução salina, eclosão dos cistos e exposição dos </w:t>
      </w:r>
      <w:proofErr w:type="spellStart"/>
      <w:r w:rsidRPr="00E70A5B">
        <w:rPr>
          <w:rFonts w:ascii="Arial" w:hAnsi="Arial" w:cs="Arial"/>
          <w:b w:val="0"/>
          <w:bCs w:val="0"/>
          <w:sz w:val="24"/>
          <w:szCs w:val="24"/>
        </w:rPr>
        <w:t>náuplios</w:t>
      </w:r>
      <w:proofErr w:type="spellEnd"/>
      <w:r w:rsidRPr="00E70A5B">
        <w:rPr>
          <w:rFonts w:ascii="Arial" w:hAnsi="Arial" w:cs="Arial"/>
          <w:b w:val="0"/>
          <w:bCs w:val="0"/>
          <w:sz w:val="24"/>
          <w:szCs w:val="24"/>
        </w:rPr>
        <w:t xml:space="preserve"> por 24 horas. Três produtos apresentaram alta letalidade: </w:t>
      </w:r>
      <w:proofErr w:type="spellStart"/>
      <w:r w:rsidRPr="00E70A5B">
        <w:rPr>
          <w:rFonts w:ascii="Arial" w:hAnsi="Arial" w:cs="Arial"/>
          <w:b w:val="0"/>
          <w:bCs w:val="0"/>
          <w:sz w:val="24"/>
          <w:szCs w:val="24"/>
        </w:rPr>
        <w:t>Clindoxyl</w:t>
      </w:r>
      <w:proofErr w:type="spellEnd"/>
      <w:r w:rsidRPr="00E70A5B">
        <w:rPr>
          <w:rFonts w:ascii="Arial" w:hAnsi="Arial" w:cs="Arial"/>
          <w:b w:val="0"/>
          <w:bCs w:val="0"/>
          <w:sz w:val="24"/>
          <w:szCs w:val="24"/>
        </w:rPr>
        <w:t xml:space="preserve"> (100%), Mira-</w:t>
      </w:r>
      <w:proofErr w:type="spellStart"/>
      <w:r w:rsidRPr="00E70A5B">
        <w:rPr>
          <w:rFonts w:ascii="Arial" w:hAnsi="Arial" w:cs="Arial"/>
          <w:b w:val="0"/>
          <w:bCs w:val="0"/>
          <w:sz w:val="24"/>
          <w:szCs w:val="24"/>
        </w:rPr>
        <w:t>cuticle</w:t>
      </w:r>
      <w:proofErr w:type="spellEnd"/>
      <w:r w:rsidRPr="00E70A5B">
        <w:rPr>
          <w:rFonts w:ascii="Arial" w:hAnsi="Arial" w:cs="Arial"/>
          <w:b w:val="0"/>
          <w:bCs w:val="0"/>
          <w:sz w:val="24"/>
          <w:szCs w:val="24"/>
        </w:rPr>
        <w:t xml:space="preserve"> (96,66%) e Boti Sun (83,33%), enquanto as demais amostras demonstraram baixa toxicidade. Os resultados evidenciam diferenças relevantes entre as formulações avaliadas e indicam a necessidade de análises complementares para compreender os fatores que contribuem para os efeitos observados. O bioensaio demonstrou eficácia como método preliminar para avaliação toxicológica de produtos tópicos, contribuindo para discussões sobre segurança, regulamentação e monitoramento de reações adversas.</w:t>
      </w:r>
    </w:p>
    <w:p w14:paraId="6E7F2596" w14:textId="270D3DDE" w:rsidR="007A1E23" w:rsidRPr="007B507C" w:rsidRDefault="00E70A5B" w:rsidP="005F0D71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B507C">
        <w:rPr>
          <w:rFonts w:ascii="Arial" w:hAnsi="Arial" w:cs="Arial"/>
          <w:b/>
          <w:bCs/>
        </w:rPr>
        <w:t>Palavras-chave:</w:t>
      </w:r>
      <w:r w:rsidRPr="00E70A5B">
        <w:rPr>
          <w:rFonts w:ascii="Arial" w:hAnsi="Arial" w:cs="Arial"/>
          <w:bCs/>
        </w:rPr>
        <w:t xml:space="preserve"> toxicidade, </w:t>
      </w:r>
      <w:proofErr w:type="spellStart"/>
      <w:r w:rsidRPr="007B507C">
        <w:rPr>
          <w:rFonts w:ascii="Arial" w:hAnsi="Arial" w:cs="Arial"/>
          <w:bCs/>
        </w:rPr>
        <w:t>Artemia</w:t>
      </w:r>
      <w:proofErr w:type="spellEnd"/>
      <w:r w:rsidRPr="007B507C">
        <w:rPr>
          <w:rFonts w:ascii="Arial" w:hAnsi="Arial" w:cs="Arial"/>
          <w:bCs/>
        </w:rPr>
        <w:t xml:space="preserve"> salina</w:t>
      </w:r>
      <w:r w:rsidRPr="00E70A5B">
        <w:rPr>
          <w:rFonts w:ascii="Arial" w:hAnsi="Arial" w:cs="Arial"/>
          <w:bCs/>
        </w:rPr>
        <w:t>, cosméticos.</w:t>
      </w:r>
    </w:p>
    <w:p w14:paraId="57D9F53C" w14:textId="3920F619" w:rsidR="00F916AD" w:rsidRPr="007B507C" w:rsidRDefault="00F916AD" w:rsidP="005F0D71">
      <w:pPr>
        <w:pStyle w:val="Legend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507C">
        <w:rPr>
          <w:rFonts w:ascii="Arial" w:hAnsi="Arial" w:cs="Arial"/>
          <w:sz w:val="24"/>
          <w:szCs w:val="24"/>
        </w:rPr>
        <w:t>INTRODUÇÃO</w:t>
      </w:r>
    </w:p>
    <w:p w14:paraId="5FA1E90B" w14:textId="34EE678E" w:rsidR="00F916AD" w:rsidRPr="007B507C" w:rsidRDefault="00F916AD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7B507C">
        <w:rPr>
          <w:rFonts w:ascii="Arial" w:hAnsi="Arial" w:cs="Arial"/>
          <w:b w:val="0"/>
          <w:sz w:val="24"/>
          <w:szCs w:val="24"/>
        </w:rPr>
        <w:t xml:space="preserve">Cosméticos e dermocosméticos fazem parte do cotidiano e possuem composição variada, podendo incluir substâncias com potencial para causar irritações, sensibilizações e reações adversas. O aumento do consumo e a crescente diversidade de formulações reforçam a importância de avaliações toxicológicas que complementem as exigências regulatórias. A Agência Nacional de Vigilância Sanitária (ANVISA) estabelece critérios para segurança e estabilidade desses produtos, mas testes laboratoriais adicionais podem auxiliar na detecção de efeitos não previstos. O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bioensaio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com </w:t>
      </w:r>
      <w:proofErr w:type="spellStart"/>
      <w:r w:rsidRPr="005F0D71">
        <w:rPr>
          <w:rFonts w:ascii="Arial" w:hAnsi="Arial" w:cs="Arial"/>
          <w:b w:val="0"/>
          <w:i/>
          <w:sz w:val="24"/>
          <w:szCs w:val="24"/>
        </w:rPr>
        <w:t>Artemia</w:t>
      </w:r>
      <w:proofErr w:type="spellEnd"/>
      <w:r w:rsidRPr="005F0D71">
        <w:rPr>
          <w:rFonts w:ascii="Arial" w:hAnsi="Arial" w:cs="Arial"/>
          <w:b w:val="0"/>
          <w:i/>
          <w:sz w:val="24"/>
          <w:szCs w:val="24"/>
        </w:rPr>
        <w:t xml:space="preserve"> salina</w:t>
      </w:r>
      <w:r w:rsidRPr="007B507C">
        <w:rPr>
          <w:rFonts w:ascii="Arial" w:hAnsi="Arial" w:cs="Arial"/>
          <w:b w:val="0"/>
          <w:sz w:val="24"/>
          <w:szCs w:val="24"/>
        </w:rPr>
        <w:t xml:space="preserve"> é amplamente utilizado como triagem inicial por sua sensibilidade, baixo custo e reprodutibilidade</w:t>
      </w:r>
      <w:r w:rsidR="005F0D71" w:rsidRPr="005F0D71">
        <w:rPr>
          <w:rFonts w:ascii="Arial" w:hAnsi="Arial" w:cs="Arial"/>
        </w:rPr>
        <w:t xml:space="preserve"> </w:t>
      </w:r>
      <w:r w:rsidR="005F0D71" w:rsidRPr="005F0D71">
        <w:rPr>
          <w:rFonts w:ascii="Arial" w:hAnsi="Arial" w:cs="Arial"/>
          <w:b w:val="0"/>
          <w:sz w:val="24"/>
          <w:szCs w:val="24"/>
        </w:rPr>
        <w:t>(ABIHPEC, 2023</w:t>
      </w:r>
      <w:proofErr w:type="gramStart"/>
      <w:r w:rsidR="005F0D71">
        <w:rPr>
          <w:rFonts w:ascii="Arial" w:hAnsi="Arial" w:cs="Arial"/>
        </w:rPr>
        <w:t xml:space="preserve">) </w:t>
      </w:r>
      <w:r w:rsidRPr="007B507C">
        <w:rPr>
          <w:rFonts w:ascii="Arial" w:hAnsi="Arial" w:cs="Arial"/>
          <w:b w:val="0"/>
          <w:sz w:val="24"/>
          <w:szCs w:val="24"/>
        </w:rPr>
        <w:t>.</w:t>
      </w:r>
      <w:proofErr w:type="gramEnd"/>
      <w:r w:rsidRPr="007B507C">
        <w:rPr>
          <w:rFonts w:ascii="Arial" w:hAnsi="Arial" w:cs="Arial"/>
          <w:b w:val="0"/>
          <w:sz w:val="24"/>
          <w:szCs w:val="24"/>
        </w:rPr>
        <w:t xml:space="preserve"> Este estudo teve </w:t>
      </w:r>
      <w:r w:rsidRPr="007B507C">
        <w:rPr>
          <w:rFonts w:ascii="Arial" w:hAnsi="Arial" w:cs="Arial"/>
          <w:b w:val="0"/>
          <w:sz w:val="24"/>
          <w:szCs w:val="24"/>
        </w:rPr>
        <w:lastRenderedPageBreak/>
        <w:t>como objetivo avaliar a toxicidade de cosméticos e dermocosméticos frente ao bioensaio, identificando potenciais riscos e contribuindo para a compreensão da segurança dessas formulações.</w:t>
      </w:r>
    </w:p>
    <w:p w14:paraId="61763A90" w14:textId="77777777" w:rsidR="00F916AD" w:rsidRPr="007B507C" w:rsidRDefault="00F916AD" w:rsidP="005F0D71">
      <w:pPr>
        <w:pStyle w:val="Legenda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</w:p>
    <w:p w14:paraId="2A376B31" w14:textId="237E891B" w:rsidR="00F916AD" w:rsidRPr="007B507C" w:rsidRDefault="00E70A5B" w:rsidP="005F0D71">
      <w:pPr>
        <w:pStyle w:val="Legend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507C">
        <w:rPr>
          <w:rFonts w:ascii="Arial" w:hAnsi="Arial" w:cs="Arial"/>
          <w:sz w:val="24"/>
          <w:szCs w:val="24"/>
        </w:rPr>
        <w:t>MÉTODOS</w:t>
      </w:r>
    </w:p>
    <w:p w14:paraId="2B17FE95" w14:textId="77777777" w:rsidR="00F916AD" w:rsidRPr="007B507C" w:rsidRDefault="00F916AD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7B507C">
        <w:rPr>
          <w:rFonts w:ascii="Arial" w:hAnsi="Arial" w:cs="Arial"/>
          <w:b w:val="0"/>
          <w:sz w:val="24"/>
          <w:szCs w:val="24"/>
        </w:rPr>
        <w:t xml:space="preserve">A pesquisa foi realizada no Centro Universitário Curitiba (UNICURITIBA), utilizando recursos institucionais. Foi preparada solução salina a 35 g/L com água destilada e sal marinho. Cistos de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Artemia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salina foram incubados por 48 horas sob iluminação contínua até eclosão. As amostras foram preparadas na proporção de 1 mg/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mL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em solução salina. Para cada formulação, foram utilizados 10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náuplios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por repetição, totalizando três repetições por produto. Os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náuplios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foram expostos às soluções por 24 horas em temperatura ambiente. Após esse período, realizou-se a contagem dos sobreviventes e o cálculo das taxas médias de letalidade. Foram testados seis produtos: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Carmed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Beijo,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Clindoxyl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>, Cuide-se Bem Banana, Mira-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cuticle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Boti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Sun e Nativa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Spa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Lilac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>.</w:t>
      </w:r>
    </w:p>
    <w:p w14:paraId="528E746B" w14:textId="77777777" w:rsidR="00F916AD" w:rsidRPr="007B507C" w:rsidRDefault="00F916AD" w:rsidP="005F0D71">
      <w:pPr>
        <w:pStyle w:val="Legenda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</w:p>
    <w:p w14:paraId="3E1DC824" w14:textId="427FDE16" w:rsidR="00E70A5B" w:rsidRPr="007B507C" w:rsidRDefault="00F916AD" w:rsidP="005F0D71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7B507C">
        <w:rPr>
          <w:rFonts w:ascii="Arial" w:hAnsi="Arial" w:cs="Arial"/>
          <w:b/>
        </w:rPr>
        <w:t>RESULTADOS E DIS</w:t>
      </w:r>
      <w:r w:rsidR="00E70A5B" w:rsidRPr="007B507C">
        <w:rPr>
          <w:rFonts w:ascii="Arial" w:hAnsi="Arial" w:cs="Arial"/>
          <w:b/>
        </w:rPr>
        <w:t>CUSSÕES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284"/>
        <w:gridCol w:w="2551"/>
      </w:tblGrid>
      <w:tr w:rsidR="00E70A5B" w:rsidRPr="007B507C" w14:paraId="68F2B2FC" w14:textId="77777777" w:rsidTr="00E70A5B">
        <w:trPr>
          <w:tblHeader/>
          <w:tblCellSpacing w:w="15" w:type="dxa"/>
          <w:jc w:val="center"/>
        </w:trPr>
        <w:tc>
          <w:tcPr>
            <w:tcW w:w="7448" w:type="dxa"/>
            <w:gridSpan w:val="3"/>
            <w:vAlign w:val="center"/>
          </w:tcPr>
          <w:p w14:paraId="541C9E53" w14:textId="2CBB7E1A" w:rsidR="00E70A5B" w:rsidRPr="007B507C" w:rsidRDefault="00E70A5B" w:rsidP="005F0D7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B507C">
              <w:rPr>
                <w:rFonts w:ascii="Arial" w:hAnsi="Arial" w:cs="Arial"/>
                <w:b/>
                <w:bCs/>
              </w:rPr>
              <w:t xml:space="preserve">Tabela 1. Taxa de letalidade das amostras no </w:t>
            </w:r>
            <w:proofErr w:type="spellStart"/>
            <w:r w:rsidRPr="007B507C">
              <w:rPr>
                <w:rFonts w:ascii="Arial" w:hAnsi="Arial" w:cs="Arial"/>
                <w:b/>
                <w:bCs/>
              </w:rPr>
              <w:t>bioensaio</w:t>
            </w:r>
            <w:proofErr w:type="spellEnd"/>
            <w:r w:rsidRPr="007B507C">
              <w:rPr>
                <w:rFonts w:ascii="Arial" w:hAnsi="Arial" w:cs="Arial"/>
                <w:b/>
                <w:bCs/>
              </w:rPr>
              <w:t xml:space="preserve"> com </w:t>
            </w:r>
            <w:proofErr w:type="spellStart"/>
            <w:r w:rsidRPr="007B507C">
              <w:rPr>
                <w:rFonts w:ascii="Arial" w:hAnsi="Arial" w:cs="Arial"/>
                <w:b/>
                <w:bCs/>
                <w:i/>
                <w:iCs/>
              </w:rPr>
              <w:t>Artemia</w:t>
            </w:r>
            <w:proofErr w:type="spellEnd"/>
            <w:r w:rsidRPr="007B507C">
              <w:rPr>
                <w:rFonts w:ascii="Arial" w:hAnsi="Arial" w:cs="Arial"/>
                <w:b/>
                <w:bCs/>
                <w:i/>
                <w:iCs/>
              </w:rPr>
              <w:t xml:space="preserve"> salina</w:t>
            </w:r>
            <w:r w:rsidRPr="007B507C">
              <w:rPr>
                <w:rFonts w:ascii="Arial" w:hAnsi="Arial" w:cs="Arial"/>
                <w:b/>
                <w:bCs/>
              </w:rPr>
              <w:t xml:space="preserve"> (24h).</w:t>
            </w:r>
          </w:p>
        </w:tc>
      </w:tr>
      <w:tr w:rsidR="00E70A5B" w:rsidRPr="00E70A5B" w14:paraId="5D154936" w14:textId="77777777" w:rsidTr="00E70A5B">
        <w:trPr>
          <w:tblHeader/>
          <w:tblCellSpacing w:w="15" w:type="dxa"/>
          <w:jc w:val="center"/>
        </w:trPr>
        <w:tc>
          <w:tcPr>
            <w:tcW w:w="2628" w:type="dxa"/>
            <w:vAlign w:val="center"/>
            <w:hideMark/>
          </w:tcPr>
          <w:p w14:paraId="1793E220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70A5B">
              <w:rPr>
                <w:rFonts w:ascii="Arial" w:hAnsi="Arial" w:cs="Arial"/>
                <w:b/>
                <w:bCs/>
              </w:rPr>
              <w:t>Produto</w:t>
            </w:r>
          </w:p>
        </w:tc>
        <w:tc>
          <w:tcPr>
            <w:tcW w:w="2254" w:type="dxa"/>
            <w:vAlign w:val="center"/>
            <w:hideMark/>
          </w:tcPr>
          <w:p w14:paraId="1F569F52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70A5B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2506" w:type="dxa"/>
            <w:vAlign w:val="center"/>
            <w:hideMark/>
          </w:tcPr>
          <w:p w14:paraId="592AE162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70A5B">
              <w:rPr>
                <w:rFonts w:ascii="Arial" w:hAnsi="Arial" w:cs="Arial"/>
                <w:b/>
                <w:bCs/>
              </w:rPr>
              <w:t>Letalidade Média (%)</w:t>
            </w:r>
          </w:p>
        </w:tc>
      </w:tr>
      <w:tr w:rsidR="00E70A5B" w:rsidRPr="00E70A5B" w14:paraId="41E9689B" w14:textId="77777777" w:rsidTr="00E70A5B">
        <w:trPr>
          <w:tblCellSpacing w:w="15" w:type="dxa"/>
          <w:jc w:val="center"/>
        </w:trPr>
        <w:tc>
          <w:tcPr>
            <w:tcW w:w="2628" w:type="dxa"/>
            <w:vAlign w:val="center"/>
            <w:hideMark/>
          </w:tcPr>
          <w:p w14:paraId="14A689F1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70A5B">
              <w:rPr>
                <w:rFonts w:ascii="Arial" w:hAnsi="Arial" w:cs="Arial"/>
              </w:rPr>
              <w:t>Clindoxyl</w:t>
            </w:r>
            <w:proofErr w:type="spellEnd"/>
          </w:p>
        </w:tc>
        <w:tc>
          <w:tcPr>
            <w:tcW w:w="2254" w:type="dxa"/>
            <w:vAlign w:val="center"/>
            <w:hideMark/>
          </w:tcPr>
          <w:p w14:paraId="5406968D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Dermocosmético</w:t>
            </w:r>
          </w:p>
        </w:tc>
        <w:tc>
          <w:tcPr>
            <w:tcW w:w="2506" w:type="dxa"/>
            <w:vAlign w:val="center"/>
            <w:hideMark/>
          </w:tcPr>
          <w:p w14:paraId="1BCA7B50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100%</w:t>
            </w:r>
          </w:p>
        </w:tc>
      </w:tr>
      <w:tr w:rsidR="00E70A5B" w:rsidRPr="00E70A5B" w14:paraId="1D91A016" w14:textId="77777777" w:rsidTr="00E70A5B">
        <w:trPr>
          <w:tblCellSpacing w:w="15" w:type="dxa"/>
          <w:jc w:val="center"/>
        </w:trPr>
        <w:tc>
          <w:tcPr>
            <w:tcW w:w="2628" w:type="dxa"/>
            <w:vAlign w:val="center"/>
            <w:hideMark/>
          </w:tcPr>
          <w:p w14:paraId="325ED328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Mira-</w:t>
            </w:r>
            <w:proofErr w:type="spellStart"/>
            <w:r w:rsidRPr="00E70A5B">
              <w:rPr>
                <w:rFonts w:ascii="Arial" w:hAnsi="Arial" w:cs="Arial"/>
              </w:rPr>
              <w:t>cuticle</w:t>
            </w:r>
            <w:proofErr w:type="spellEnd"/>
          </w:p>
        </w:tc>
        <w:tc>
          <w:tcPr>
            <w:tcW w:w="2254" w:type="dxa"/>
            <w:vAlign w:val="center"/>
            <w:hideMark/>
          </w:tcPr>
          <w:p w14:paraId="7AD77EFE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Cosmético</w:t>
            </w:r>
          </w:p>
        </w:tc>
        <w:tc>
          <w:tcPr>
            <w:tcW w:w="2506" w:type="dxa"/>
            <w:vAlign w:val="center"/>
            <w:hideMark/>
          </w:tcPr>
          <w:p w14:paraId="382FD1D5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96,66%</w:t>
            </w:r>
          </w:p>
        </w:tc>
      </w:tr>
      <w:tr w:rsidR="00E70A5B" w:rsidRPr="00E70A5B" w14:paraId="41F29F11" w14:textId="77777777" w:rsidTr="00E70A5B">
        <w:trPr>
          <w:tblCellSpacing w:w="15" w:type="dxa"/>
          <w:jc w:val="center"/>
        </w:trPr>
        <w:tc>
          <w:tcPr>
            <w:tcW w:w="2628" w:type="dxa"/>
            <w:vAlign w:val="center"/>
            <w:hideMark/>
          </w:tcPr>
          <w:p w14:paraId="76B73F4F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Boti Sun</w:t>
            </w:r>
          </w:p>
        </w:tc>
        <w:tc>
          <w:tcPr>
            <w:tcW w:w="2254" w:type="dxa"/>
            <w:vAlign w:val="center"/>
            <w:hideMark/>
          </w:tcPr>
          <w:p w14:paraId="6F04B94D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Dermocosmético</w:t>
            </w:r>
          </w:p>
        </w:tc>
        <w:tc>
          <w:tcPr>
            <w:tcW w:w="2506" w:type="dxa"/>
            <w:vAlign w:val="center"/>
            <w:hideMark/>
          </w:tcPr>
          <w:p w14:paraId="2345A5B4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83,33%</w:t>
            </w:r>
          </w:p>
        </w:tc>
      </w:tr>
      <w:tr w:rsidR="00E70A5B" w:rsidRPr="00E70A5B" w14:paraId="79B8F8D7" w14:textId="77777777" w:rsidTr="00E70A5B">
        <w:trPr>
          <w:tblCellSpacing w:w="15" w:type="dxa"/>
          <w:jc w:val="center"/>
        </w:trPr>
        <w:tc>
          <w:tcPr>
            <w:tcW w:w="2628" w:type="dxa"/>
            <w:vAlign w:val="center"/>
            <w:hideMark/>
          </w:tcPr>
          <w:p w14:paraId="13CD1D41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Cuide-se Bem Banana</w:t>
            </w:r>
          </w:p>
        </w:tc>
        <w:tc>
          <w:tcPr>
            <w:tcW w:w="2254" w:type="dxa"/>
            <w:vAlign w:val="center"/>
            <w:hideMark/>
          </w:tcPr>
          <w:p w14:paraId="3EE8046E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Cosmético</w:t>
            </w:r>
          </w:p>
        </w:tc>
        <w:tc>
          <w:tcPr>
            <w:tcW w:w="2506" w:type="dxa"/>
            <w:vAlign w:val="center"/>
            <w:hideMark/>
          </w:tcPr>
          <w:p w14:paraId="65FEC42E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6,66%</w:t>
            </w:r>
          </w:p>
        </w:tc>
      </w:tr>
      <w:tr w:rsidR="00E70A5B" w:rsidRPr="00E70A5B" w14:paraId="435C8D97" w14:textId="77777777" w:rsidTr="00E70A5B">
        <w:trPr>
          <w:tblCellSpacing w:w="15" w:type="dxa"/>
          <w:jc w:val="center"/>
        </w:trPr>
        <w:tc>
          <w:tcPr>
            <w:tcW w:w="2628" w:type="dxa"/>
            <w:vAlign w:val="center"/>
            <w:hideMark/>
          </w:tcPr>
          <w:p w14:paraId="482F5208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70A5B">
              <w:rPr>
                <w:rFonts w:ascii="Arial" w:hAnsi="Arial" w:cs="Arial"/>
              </w:rPr>
              <w:t>Carmed</w:t>
            </w:r>
            <w:proofErr w:type="spellEnd"/>
            <w:r w:rsidRPr="00E70A5B">
              <w:rPr>
                <w:rFonts w:ascii="Arial" w:hAnsi="Arial" w:cs="Arial"/>
              </w:rPr>
              <w:t xml:space="preserve"> Beijo</w:t>
            </w:r>
          </w:p>
        </w:tc>
        <w:tc>
          <w:tcPr>
            <w:tcW w:w="2254" w:type="dxa"/>
            <w:vAlign w:val="center"/>
            <w:hideMark/>
          </w:tcPr>
          <w:p w14:paraId="5A6AD58C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Cosmético</w:t>
            </w:r>
          </w:p>
        </w:tc>
        <w:tc>
          <w:tcPr>
            <w:tcW w:w="2506" w:type="dxa"/>
            <w:vAlign w:val="center"/>
            <w:hideMark/>
          </w:tcPr>
          <w:p w14:paraId="4F8F3121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3,33%</w:t>
            </w:r>
          </w:p>
        </w:tc>
      </w:tr>
      <w:tr w:rsidR="00E70A5B" w:rsidRPr="00E70A5B" w14:paraId="62AC2E6D" w14:textId="77777777" w:rsidTr="00E70A5B">
        <w:trPr>
          <w:tblCellSpacing w:w="15" w:type="dxa"/>
          <w:jc w:val="center"/>
        </w:trPr>
        <w:tc>
          <w:tcPr>
            <w:tcW w:w="2628" w:type="dxa"/>
            <w:vAlign w:val="center"/>
            <w:hideMark/>
          </w:tcPr>
          <w:p w14:paraId="50B0A216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 xml:space="preserve">Nativa </w:t>
            </w:r>
            <w:proofErr w:type="spellStart"/>
            <w:r w:rsidRPr="00E70A5B">
              <w:rPr>
                <w:rFonts w:ascii="Arial" w:hAnsi="Arial" w:cs="Arial"/>
              </w:rPr>
              <w:t>Spa</w:t>
            </w:r>
            <w:proofErr w:type="spellEnd"/>
            <w:r w:rsidRPr="00E70A5B">
              <w:rPr>
                <w:rFonts w:ascii="Arial" w:hAnsi="Arial" w:cs="Arial"/>
              </w:rPr>
              <w:t xml:space="preserve"> </w:t>
            </w:r>
            <w:proofErr w:type="spellStart"/>
            <w:r w:rsidRPr="00E70A5B">
              <w:rPr>
                <w:rFonts w:ascii="Arial" w:hAnsi="Arial" w:cs="Arial"/>
              </w:rPr>
              <w:t>Lilac</w:t>
            </w:r>
            <w:proofErr w:type="spellEnd"/>
          </w:p>
        </w:tc>
        <w:tc>
          <w:tcPr>
            <w:tcW w:w="2254" w:type="dxa"/>
            <w:vAlign w:val="center"/>
            <w:hideMark/>
          </w:tcPr>
          <w:p w14:paraId="234703BB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Cosmético</w:t>
            </w:r>
          </w:p>
        </w:tc>
        <w:tc>
          <w:tcPr>
            <w:tcW w:w="2506" w:type="dxa"/>
            <w:vAlign w:val="center"/>
            <w:hideMark/>
          </w:tcPr>
          <w:p w14:paraId="7666D953" w14:textId="77777777" w:rsidR="00E70A5B" w:rsidRPr="00E70A5B" w:rsidRDefault="00E70A5B" w:rsidP="005F0D7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0A5B">
              <w:rPr>
                <w:rFonts w:ascii="Arial" w:hAnsi="Arial" w:cs="Arial"/>
              </w:rPr>
              <w:t>3,33%</w:t>
            </w:r>
          </w:p>
        </w:tc>
      </w:tr>
    </w:tbl>
    <w:p w14:paraId="46FA2DF0" w14:textId="39B63BF1" w:rsidR="00F916AD" w:rsidRPr="007B507C" w:rsidRDefault="00F916AD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6C120AA" w14:textId="77777777" w:rsidR="00F916AD" w:rsidRPr="007B507C" w:rsidRDefault="00F916AD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7B507C">
        <w:rPr>
          <w:rFonts w:ascii="Arial" w:hAnsi="Arial" w:cs="Arial"/>
          <w:b w:val="0"/>
          <w:sz w:val="24"/>
          <w:szCs w:val="24"/>
        </w:rPr>
        <w:t xml:space="preserve">Os resultados indicaram três amostras com alta letalidade: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Clindoxyl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apresentou 100% de mortalidade, seguido por Mira-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cuticle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com 96,66% e Boti Sun com 83,33%. As demais formulações demonstraram baixa toxicidade, variando entre 3,33% e 6,66%. A elevada letalidade observada em algumas amostras pode estar associada à </w:t>
      </w:r>
      <w:r w:rsidRPr="007B507C">
        <w:rPr>
          <w:rFonts w:ascii="Arial" w:hAnsi="Arial" w:cs="Arial"/>
          <w:b w:val="0"/>
          <w:sz w:val="24"/>
          <w:szCs w:val="24"/>
        </w:rPr>
        <w:lastRenderedPageBreak/>
        <w:t>presença de determinados compostos, às interações entre ingredientes, ao pH das formulações e à concentração utilizada no ensaio. Estudos prévios indicam que substâncias como conservantes, filtros solares e ácidos podem provocar efeitos agudos em organismos sensíveis. O bioensaio demonstrou capacidade de discriminar diferenças toxicológicas entre as formulações, alinhando-se ao que descreve a literatura sobre sua eficiência como triagem. Os resultados reforçam a importância de avaliações complementares em produtos com maior impacto tóxico observado e sugerem necessidade de estudos sobre diluições, estabilidade e comportamento das formulações em diferentes condições.</w:t>
      </w:r>
    </w:p>
    <w:p w14:paraId="3A0ED062" w14:textId="77777777" w:rsidR="00F916AD" w:rsidRPr="007B507C" w:rsidRDefault="00F916AD" w:rsidP="005F0D71">
      <w:pPr>
        <w:pStyle w:val="Legenda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</w:p>
    <w:p w14:paraId="655D0309" w14:textId="77777777" w:rsidR="00F916AD" w:rsidRPr="007B507C" w:rsidRDefault="00F916AD" w:rsidP="005F0D71">
      <w:pPr>
        <w:pStyle w:val="Legend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507C">
        <w:rPr>
          <w:rFonts w:ascii="Arial" w:hAnsi="Arial" w:cs="Arial"/>
          <w:sz w:val="24"/>
          <w:szCs w:val="24"/>
        </w:rPr>
        <w:t>CONCLUSÕES</w:t>
      </w:r>
    </w:p>
    <w:p w14:paraId="0BC7464B" w14:textId="62E99703" w:rsidR="00F916AD" w:rsidRPr="007B507C" w:rsidRDefault="007B507C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7B507C">
        <w:rPr>
          <w:rFonts w:ascii="Arial" w:hAnsi="Arial" w:cs="Arial"/>
          <w:b w:val="0"/>
          <w:sz w:val="24"/>
          <w:szCs w:val="24"/>
        </w:rPr>
        <w:t xml:space="preserve">Os resultados obtidos demonstram que algumas formulações avaliadas apresentam potencial toxicológico considerável frente ao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bioensaio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com </w:t>
      </w:r>
      <w:proofErr w:type="spellStart"/>
      <w:r w:rsidRPr="007B507C">
        <w:rPr>
          <w:rFonts w:ascii="Arial" w:hAnsi="Arial" w:cs="Arial"/>
          <w:b w:val="0"/>
          <w:sz w:val="24"/>
          <w:szCs w:val="24"/>
        </w:rPr>
        <w:t>Artemia</w:t>
      </w:r>
      <w:proofErr w:type="spellEnd"/>
      <w:r w:rsidRPr="007B507C">
        <w:rPr>
          <w:rFonts w:ascii="Arial" w:hAnsi="Arial" w:cs="Arial"/>
          <w:b w:val="0"/>
          <w:sz w:val="24"/>
          <w:szCs w:val="24"/>
        </w:rPr>
        <w:t xml:space="preserve"> salina. O estudo atingiu seu objetivo ao identificar produtos com maior e menor impacto, contribuindo para discussões sobre segurança e apoiando a necessidade de investigações complementares. As conclusões referem-se exclusivamente às condições experimentais utilizadas.</w:t>
      </w:r>
    </w:p>
    <w:p w14:paraId="76E0562D" w14:textId="77777777" w:rsidR="00F916AD" w:rsidRPr="007B507C" w:rsidRDefault="00F916AD" w:rsidP="005F0D71">
      <w:pPr>
        <w:pStyle w:val="Legenda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</w:p>
    <w:p w14:paraId="1756FFA0" w14:textId="77777777" w:rsidR="00F916AD" w:rsidRPr="007B507C" w:rsidRDefault="00F916AD" w:rsidP="005F0D71">
      <w:pPr>
        <w:pStyle w:val="Legend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507C">
        <w:rPr>
          <w:rFonts w:ascii="Arial" w:hAnsi="Arial" w:cs="Arial"/>
          <w:sz w:val="24"/>
          <w:szCs w:val="24"/>
        </w:rPr>
        <w:t>REFERÊNCIAS</w:t>
      </w:r>
    </w:p>
    <w:p w14:paraId="3595DE06" w14:textId="77777777" w:rsidR="007B507C" w:rsidRPr="007B507C" w:rsidRDefault="007B507C" w:rsidP="005F0D71">
      <w:pPr>
        <w:pStyle w:val="Legenda"/>
        <w:spacing w:line="360" w:lineRule="auto"/>
        <w:ind w:left="1134"/>
        <w:jc w:val="both"/>
        <w:rPr>
          <w:rFonts w:ascii="Arial" w:hAnsi="Arial" w:cs="Arial"/>
          <w:b w:val="0"/>
          <w:sz w:val="24"/>
          <w:szCs w:val="24"/>
        </w:rPr>
      </w:pPr>
    </w:p>
    <w:p w14:paraId="7CB1B6F1" w14:textId="633C9E6A" w:rsidR="005F0D71" w:rsidRPr="005F0D71" w:rsidRDefault="005F0D71" w:rsidP="005F0D71">
      <w:pPr>
        <w:pStyle w:val="NormalWeb"/>
        <w:rPr>
          <w:rFonts w:ascii="Arial" w:hAnsi="Arial" w:cs="Arial"/>
        </w:rPr>
      </w:pPr>
      <w:r>
        <w:t>A</w:t>
      </w:r>
      <w:r w:rsidRPr="005F0D71">
        <w:rPr>
          <w:rFonts w:ascii="Arial" w:hAnsi="Arial" w:cs="Arial"/>
        </w:rPr>
        <w:t xml:space="preserve">SSOCIAÇÃO BRASILEIRA DA INDÚSTRIA DE HPPC (ABIHPEC). Panorama do setor: A Indústria de Higiene Pessoal, Perfumaria e Cosméticos. São Paulo: ABIHPEC, 2023. </w:t>
      </w:r>
    </w:p>
    <w:p w14:paraId="48C44964" w14:textId="1CE6F473" w:rsidR="005F0D71" w:rsidRPr="005F0D71" w:rsidRDefault="005F0D71" w:rsidP="005F0D71">
      <w:pPr>
        <w:pStyle w:val="NormalWeb"/>
        <w:rPr>
          <w:rFonts w:ascii="Arial" w:hAnsi="Arial" w:cs="Arial"/>
        </w:rPr>
      </w:pPr>
      <w:r w:rsidRPr="005F0D71">
        <w:rPr>
          <w:rFonts w:ascii="Arial" w:hAnsi="Arial" w:cs="Arial"/>
        </w:rPr>
        <w:t xml:space="preserve">MEYER, B. N.; FERRIGNI, N. R.; PUTNAM, J. E.; JACOBSEN, L. B.; NICHOLS, D. E.; MCLAUGHLIN, J. L. </w:t>
      </w:r>
      <w:proofErr w:type="spellStart"/>
      <w:r w:rsidRPr="005F0D71">
        <w:rPr>
          <w:rFonts w:ascii="Arial" w:hAnsi="Arial" w:cs="Arial"/>
        </w:rPr>
        <w:t>Brine</w:t>
      </w:r>
      <w:proofErr w:type="spellEnd"/>
      <w:r w:rsidRPr="005F0D71">
        <w:rPr>
          <w:rFonts w:ascii="Arial" w:hAnsi="Arial" w:cs="Arial"/>
        </w:rPr>
        <w:t xml:space="preserve"> </w:t>
      </w:r>
      <w:proofErr w:type="spellStart"/>
      <w:r w:rsidRPr="005F0D71">
        <w:rPr>
          <w:rFonts w:ascii="Arial" w:hAnsi="Arial" w:cs="Arial"/>
        </w:rPr>
        <w:t>shrimp</w:t>
      </w:r>
      <w:proofErr w:type="spellEnd"/>
      <w:r w:rsidRPr="005F0D71">
        <w:rPr>
          <w:rFonts w:ascii="Arial" w:hAnsi="Arial" w:cs="Arial"/>
        </w:rPr>
        <w:t xml:space="preserve">: a </w:t>
      </w:r>
      <w:proofErr w:type="spellStart"/>
      <w:r w:rsidRPr="005F0D71">
        <w:rPr>
          <w:rFonts w:ascii="Arial" w:hAnsi="Arial" w:cs="Arial"/>
        </w:rPr>
        <w:t>convenient</w:t>
      </w:r>
      <w:proofErr w:type="spellEnd"/>
      <w:r w:rsidRPr="005F0D71">
        <w:rPr>
          <w:rFonts w:ascii="Arial" w:hAnsi="Arial" w:cs="Arial"/>
        </w:rPr>
        <w:t xml:space="preserve"> general </w:t>
      </w:r>
      <w:proofErr w:type="spellStart"/>
      <w:r w:rsidRPr="005F0D71">
        <w:rPr>
          <w:rFonts w:ascii="Arial" w:hAnsi="Arial" w:cs="Arial"/>
        </w:rPr>
        <w:t>bioassay</w:t>
      </w:r>
      <w:proofErr w:type="spellEnd"/>
      <w:r w:rsidRPr="005F0D71">
        <w:rPr>
          <w:rFonts w:ascii="Arial" w:hAnsi="Arial" w:cs="Arial"/>
        </w:rPr>
        <w:t xml:space="preserve"> for </w:t>
      </w:r>
      <w:proofErr w:type="spellStart"/>
      <w:r w:rsidRPr="005F0D71">
        <w:rPr>
          <w:rFonts w:ascii="Arial" w:hAnsi="Arial" w:cs="Arial"/>
        </w:rPr>
        <w:t>active</w:t>
      </w:r>
      <w:proofErr w:type="spellEnd"/>
      <w:r w:rsidRPr="005F0D71">
        <w:rPr>
          <w:rFonts w:ascii="Arial" w:hAnsi="Arial" w:cs="Arial"/>
        </w:rPr>
        <w:t xml:space="preserve"> </w:t>
      </w:r>
      <w:proofErr w:type="spellStart"/>
      <w:r w:rsidRPr="005F0D71">
        <w:rPr>
          <w:rFonts w:ascii="Arial" w:hAnsi="Arial" w:cs="Arial"/>
        </w:rPr>
        <w:t>plant</w:t>
      </w:r>
      <w:proofErr w:type="spellEnd"/>
      <w:r w:rsidRPr="005F0D71">
        <w:rPr>
          <w:rFonts w:ascii="Arial" w:hAnsi="Arial" w:cs="Arial"/>
        </w:rPr>
        <w:t xml:space="preserve"> </w:t>
      </w:r>
      <w:proofErr w:type="spellStart"/>
      <w:r w:rsidRPr="005F0D71">
        <w:rPr>
          <w:rFonts w:ascii="Arial" w:hAnsi="Arial" w:cs="Arial"/>
        </w:rPr>
        <w:t>constituents</w:t>
      </w:r>
      <w:proofErr w:type="spellEnd"/>
      <w:r w:rsidRPr="005F0D71">
        <w:rPr>
          <w:rFonts w:ascii="Arial" w:hAnsi="Arial" w:cs="Arial"/>
        </w:rPr>
        <w:t xml:space="preserve">. Planta Med., v.45, n.5, p.31–34, May 1982. </w:t>
      </w:r>
    </w:p>
    <w:p w14:paraId="2D405553" w14:textId="22331630" w:rsidR="005F0D71" w:rsidRPr="005F0D71" w:rsidRDefault="005F0D71" w:rsidP="005F0D71">
      <w:pPr>
        <w:pStyle w:val="NormalWeb"/>
        <w:rPr>
          <w:rFonts w:ascii="Arial" w:hAnsi="Arial" w:cs="Arial"/>
        </w:rPr>
      </w:pPr>
      <w:r w:rsidRPr="005F0D71">
        <w:rPr>
          <w:rFonts w:ascii="Arial" w:hAnsi="Arial" w:cs="Arial"/>
        </w:rPr>
        <w:t xml:space="preserve">CHORILLI, </w:t>
      </w:r>
      <w:proofErr w:type="spellStart"/>
      <w:r w:rsidRPr="005F0D71">
        <w:rPr>
          <w:rFonts w:ascii="Arial" w:hAnsi="Arial" w:cs="Arial"/>
        </w:rPr>
        <w:t>Marlus</w:t>
      </w:r>
      <w:proofErr w:type="spellEnd"/>
      <w:r w:rsidRPr="005F0D71">
        <w:rPr>
          <w:rFonts w:ascii="Arial" w:hAnsi="Arial" w:cs="Arial"/>
        </w:rPr>
        <w:t xml:space="preserve">; SCARPA, Maria Virgínia; LEONARDI, Gislaine Ricci; FRANCO, Yoko Oshima. Toxicologia dos cosméticos. </w:t>
      </w:r>
      <w:proofErr w:type="spellStart"/>
      <w:r w:rsidRPr="005F0D71">
        <w:rPr>
          <w:rFonts w:ascii="Arial" w:hAnsi="Arial" w:cs="Arial"/>
        </w:rPr>
        <w:t>Latin</w:t>
      </w:r>
      <w:proofErr w:type="spellEnd"/>
      <w:r w:rsidRPr="005F0D71">
        <w:rPr>
          <w:rFonts w:ascii="Arial" w:hAnsi="Arial" w:cs="Arial"/>
        </w:rPr>
        <w:t xml:space="preserve"> American </w:t>
      </w:r>
      <w:proofErr w:type="spellStart"/>
      <w:r w:rsidRPr="005F0D71">
        <w:rPr>
          <w:rFonts w:ascii="Arial" w:hAnsi="Arial" w:cs="Arial"/>
        </w:rPr>
        <w:t>Journal</w:t>
      </w:r>
      <w:proofErr w:type="spellEnd"/>
      <w:r w:rsidRPr="005F0D71">
        <w:rPr>
          <w:rFonts w:ascii="Arial" w:hAnsi="Arial" w:cs="Arial"/>
        </w:rPr>
        <w:t xml:space="preserve"> </w:t>
      </w:r>
      <w:proofErr w:type="spellStart"/>
      <w:r w:rsidRPr="005F0D71">
        <w:rPr>
          <w:rFonts w:ascii="Arial" w:hAnsi="Arial" w:cs="Arial"/>
        </w:rPr>
        <w:t>of</w:t>
      </w:r>
      <w:proofErr w:type="spellEnd"/>
      <w:r w:rsidRPr="005F0D71">
        <w:rPr>
          <w:rFonts w:ascii="Arial" w:hAnsi="Arial" w:cs="Arial"/>
        </w:rPr>
        <w:t xml:space="preserve"> </w:t>
      </w:r>
      <w:proofErr w:type="spellStart"/>
      <w:r w:rsidRPr="005F0D71">
        <w:rPr>
          <w:rFonts w:ascii="Arial" w:hAnsi="Arial" w:cs="Arial"/>
        </w:rPr>
        <w:t>Pharmacy</w:t>
      </w:r>
      <w:proofErr w:type="spellEnd"/>
      <w:r w:rsidRPr="005F0D71">
        <w:rPr>
          <w:rFonts w:ascii="Arial" w:hAnsi="Arial" w:cs="Arial"/>
        </w:rPr>
        <w:t xml:space="preserve"> (Lat. Am. J. </w:t>
      </w:r>
      <w:proofErr w:type="spellStart"/>
      <w:r w:rsidRPr="005F0D71">
        <w:rPr>
          <w:rFonts w:ascii="Arial" w:hAnsi="Arial" w:cs="Arial"/>
        </w:rPr>
        <w:t>Pharm</w:t>
      </w:r>
      <w:proofErr w:type="spellEnd"/>
      <w:r w:rsidRPr="005F0D71">
        <w:rPr>
          <w:rFonts w:ascii="Arial" w:hAnsi="Arial" w:cs="Arial"/>
        </w:rPr>
        <w:t xml:space="preserve">.), v.26, n.1, p.144–154, 2007. </w:t>
      </w:r>
    </w:p>
    <w:p w14:paraId="18161C62" w14:textId="0839886B" w:rsidR="005F0D71" w:rsidRPr="005F0D71" w:rsidRDefault="005F0D71" w:rsidP="005F0D71">
      <w:pPr>
        <w:pStyle w:val="NormalWeb"/>
        <w:rPr>
          <w:rFonts w:ascii="Arial" w:hAnsi="Arial" w:cs="Arial"/>
        </w:rPr>
      </w:pPr>
      <w:r w:rsidRPr="005F0D71">
        <w:rPr>
          <w:rFonts w:ascii="Arial" w:hAnsi="Arial" w:cs="Arial"/>
        </w:rPr>
        <w:t xml:space="preserve">MARTINS, Ana Cristina Rodrigues; et al. Avaliação da toxicidade das tinturas de aroeira e de romã através do </w:t>
      </w:r>
      <w:proofErr w:type="spellStart"/>
      <w:r w:rsidRPr="005F0D71">
        <w:rPr>
          <w:rFonts w:ascii="Arial" w:hAnsi="Arial" w:cs="Arial"/>
        </w:rPr>
        <w:t>bioensaio</w:t>
      </w:r>
      <w:proofErr w:type="spellEnd"/>
      <w:r w:rsidRPr="005F0D71">
        <w:rPr>
          <w:rFonts w:ascii="Arial" w:hAnsi="Arial" w:cs="Arial"/>
        </w:rPr>
        <w:t xml:space="preserve"> com </w:t>
      </w:r>
      <w:proofErr w:type="spellStart"/>
      <w:r w:rsidRPr="005F0D71">
        <w:rPr>
          <w:rFonts w:ascii="Arial" w:hAnsi="Arial" w:cs="Arial"/>
        </w:rPr>
        <w:t>Artemia</w:t>
      </w:r>
      <w:proofErr w:type="spellEnd"/>
      <w:r w:rsidRPr="005F0D71">
        <w:rPr>
          <w:rFonts w:ascii="Arial" w:hAnsi="Arial" w:cs="Arial"/>
        </w:rPr>
        <w:t xml:space="preserve"> salina. </w:t>
      </w:r>
      <w:proofErr w:type="spellStart"/>
      <w:r w:rsidRPr="005F0D71">
        <w:rPr>
          <w:rFonts w:ascii="Arial" w:hAnsi="Arial" w:cs="Arial"/>
        </w:rPr>
        <w:t>Research</w:t>
      </w:r>
      <w:proofErr w:type="spellEnd"/>
      <w:r w:rsidRPr="005F0D71">
        <w:rPr>
          <w:rFonts w:ascii="Arial" w:hAnsi="Arial" w:cs="Arial"/>
        </w:rPr>
        <w:t xml:space="preserve">, </w:t>
      </w:r>
      <w:proofErr w:type="spellStart"/>
      <w:r w:rsidRPr="005F0D71">
        <w:rPr>
          <w:rFonts w:ascii="Arial" w:hAnsi="Arial" w:cs="Arial"/>
        </w:rPr>
        <w:t>Society</w:t>
      </w:r>
      <w:proofErr w:type="spellEnd"/>
      <w:r w:rsidRPr="005F0D71">
        <w:rPr>
          <w:rFonts w:ascii="Arial" w:hAnsi="Arial" w:cs="Arial"/>
        </w:rPr>
        <w:t xml:space="preserve"> </w:t>
      </w:r>
      <w:proofErr w:type="spellStart"/>
      <w:r w:rsidRPr="005F0D71">
        <w:rPr>
          <w:rFonts w:ascii="Arial" w:hAnsi="Arial" w:cs="Arial"/>
        </w:rPr>
        <w:t>and</w:t>
      </w:r>
      <w:proofErr w:type="spellEnd"/>
      <w:r w:rsidRPr="005F0D71">
        <w:rPr>
          <w:rFonts w:ascii="Arial" w:hAnsi="Arial" w:cs="Arial"/>
        </w:rPr>
        <w:t xml:space="preserve"> </w:t>
      </w:r>
      <w:proofErr w:type="spellStart"/>
      <w:r w:rsidRPr="005F0D71">
        <w:rPr>
          <w:rFonts w:ascii="Arial" w:hAnsi="Arial" w:cs="Arial"/>
        </w:rPr>
        <w:t>Development</w:t>
      </w:r>
      <w:proofErr w:type="spellEnd"/>
      <w:r w:rsidRPr="005F0D71">
        <w:rPr>
          <w:rFonts w:ascii="Arial" w:hAnsi="Arial" w:cs="Arial"/>
        </w:rPr>
        <w:t xml:space="preserve">, v.10, n.3, e52010313751, 24 mar. 2021. </w:t>
      </w:r>
    </w:p>
    <w:p w14:paraId="441EDA7C" w14:textId="4A95C99E" w:rsidR="00F916AD" w:rsidRPr="007B507C" w:rsidRDefault="007B507C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7B507C">
        <w:rPr>
          <w:rFonts w:ascii="Arial" w:hAnsi="Arial" w:cs="Arial"/>
          <w:sz w:val="24"/>
          <w:szCs w:val="24"/>
        </w:rPr>
        <w:t>FOMENTO</w:t>
      </w:r>
    </w:p>
    <w:p w14:paraId="53B047CC" w14:textId="7F30D6E3" w:rsidR="007B507C" w:rsidRPr="007B507C" w:rsidRDefault="007B507C" w:rsidP="005F0D71">
      <w:pPr>
        <w:pStyle w:val="Legenda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7B507C">
        <w:rPr>
          <w:rFonts w:ascii="Arial" w:hAnsi="Arial" w:cs="Arial"/>
          <w:b w:val="0"/>
          <w:sz w:val="24"/>
          <w:szCs w:val="24"/>
        </w:rPr>
        <w:lastRenderedPageBreak/>
        <w:t xml:space="preserve">Agradecimento ao Centro Universitário Curitiba – UNICURITIBA pelo </w:t>
      </w:r>
      <w:bookmarkStart w:id="0" w:name="_GoBack"/>
      <w:bookmarkEnd w:id="0"/>
      <w:r w:rsidRPr="007B507C">
        <w:rPr>
          <w:rFonts w:ascii="Arial" w:hAnsi="Arial" w:cs="Arial"/>
          <w:b w:val="0"/>
          <w:sz w:val="24"/>
          <w:szCs w:val="24"/>
        </w:rPr>
        <w:t xml:space="preserve">Suporte e disponibilização dos materiais e infraestrutura, projeto vinculado </w:t>
      </w:r>
    </w:p>
    <w:p w14:paraId="5A5B4B71" w14:textId="2CBF3DEB" w:rsidR="00ED7E7E" w:rsidRPr="007B507C" w:rsidRDefault="007B507C" w:rsidP="005F0D71">
      <w:pPr>
        <w:pStyle w:val="Legenda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B507C">
        <w:rPr>
          <w:rFonts w:ascii="Arial" w:hAnsi="Arial" w:cs="Arial"/>
          <w:b w:val="0"/>
          <w:sz w:val="24"/>
          <w:szCs w:val="24"/>
        </w:rPr>
        <w:t>ao Programa Pró-Ciência do Ecossistema Ânima</w:t>
      </w:r>
    </w:p>
    <w:sectPr w:rsidR="00ED7E7E" w:rsidRPr="007B507C" w:rsidSect="000C7F31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C276A" w14:textId="77777777" w:rsidR="008C02B3" w:rsidRDefault="008C02B3" w:rsidP="00442DE5">
      <w:r>
        <w:separator/>
      </w:r>
    </w:p>
  </w:endnote>
  <w:endnote w:type="continuationSeparator" w:id="0">
    <w:p w14:paraId="031C7EB8" w14:textId="77777777" w:rsidR="008C02B3" w:rsidRDefault="008C02B3" w:rsidP="0044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F18A0" w14:textId="5E3628EA" w:rsidR="00796FF0" w:rsidRDefault="00796FF0">
    <w:pPr>
      <w:pStyle w:val="Rodap"/>
    </w:pPr>
  </w:p>
  <w:p w14:paraId="61093156" w14:textId="0CB5F3F3" w:rsidR="00796FF0" w:rsidRDefault="00796F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6DAC1" w14:textId="77777777" w:rsidR="008C02B3" w:rsidRDefault="008C02B3" w:rsidP="00442DE5">
      <w:r>
        <w:separator/>
      </w:r>
    </w:p>
  </w:footnote>
  <w:footnote w:type="continuationSeparator" w:id="0">
    <w:p w14:paraId="28B923B5" w14:textId="77777777" w:rsidR="008C02B3" w:rsidRDefault="008C02B3" w:rsidP="00442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E260C" w14:textId="0ADE1370" w:rsidR="00796FF0" w:rsidRDefault="00796FF0">
    <w:pPr>
      <w:pStyle w:val="Cabealho"/>
    </w:pPr>
  </w:p>
  <w:p w14:paraId="0F025633" w14:textId="3E8A9D48" w:rsidR="00442DE5" w:rsidRDefault="00442D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6BA5"/>
    <w:multiLevelType w:val="hybridMultilevel"/>
    <w:tmpl w:val="CBF4F9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6242F"/>
    <w:multiLevelType w:val="hybridMultilevel"/>
    <w:tmpl w:val="A5FAD91E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F224249"/>
    <w:multiLevelType w:val="hybridMultilevel"/>
    <w:tmpl w:val="03261C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C5456"/>
    <w:multiLevelType w:val="hybridMultilevel"/>
    <w:tmpl w:val="3C88A5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E5"/>
    <w:rsid w:val="00063ACE"/>
    <w:rsid w:val="000C7F31"/>
    <w:rsid w:val="000D5F62"/>
    <w:rsid w:val="000E0D65"/>
    <w:rsid w:val="0011408A"/>
    <w:rsid w:val="00132E47"/>
    <w:rsid w:val="00165C8E"/>
    <w:rsid w:val="00174678"/>
    <w:rsid w:val="00192704"/>
    <w:rsid w:val="00194000"/>
    <w:rsid w:val="001B6D58"/>
    <w:rsid w:val="00257374"/>
    <w:rsid w:val="002A52EE"/>
    <w:rsid w:val="002B5BAE"/>
    <w:rsid w:val="002C0E30"/>
    <w:rsid w:val="002E5D97"/>
    <w:rsid w:val="00323369"/>
    <w:rsid w:val="00336BB1"/>
    <w:rsid w:val="00344C80"/>
    <w:rsid w:val="0041498C"/>
    <w:rsid w:val="00442DE5"/>
    <w:rsid w:val="0046194A"/>
    <w:rsid w:val="005470AE"/>
    <w:rsid w:val="005F0D71"/>
    <w:rsid w:val="00614727"/>
    <w:rsid w:val="00697076"/>
    <w:rsid w:val="00733302"/>
    <w:rsid w:val="00796FF0"/>
    <w:rsid w:val="007A1E23"/>
    <w:rsid w:val="007B507C"/>
    <w:rsid w:val="008113EB"/>
    <w:rsid w:val="00836295"/>
    <w:rsid w:val="00872743"/>
    <w:rsid w:val="008C02B3"/>
    <w:rsid w:val="00911802"/>
    <w:rsid w:val="00923BF4"/>
    <w:rsid w:val="00940CC8"/>
    <w:rsid w:val="009521A0"/>
    <w:rsid w:val="009F731A"/>
    <w:rsid w:val="00A051B5"/>
    <w:rsid w:val="00A15E7C"/>
    <w:rsid w:val="00A20934"/>
    <w:rsid w:val="00A63772"/>
    <w:rsid w:val="00A9215F"/>
    <w:rsid w:val="00AE6E26"/>
    <w:rsid w:val="00AF19E3"/>
    <w:rsid w:val="00B954CE"/>
    <w:rsid w:val="00BB05F4"/>
    <w:rsid w:val="00BD2559"/>
    <w:rsid w:val="00BF3CB3"/>
    <w:rsid w:val="00C64916"/>
    <w:rsid w:val="00C72B5F"/>
    <w:rsid w:val="00C735CA"/>
    <w:rsid w:val="00C84798"/>
    <w:rsid w:val="00C94BEC"/>
    <w:rsid w:val="00CB0D38"/>
    <w:rsid w:val="00CB4C5C"/>
    <w:rsid w:val="00CD4E2A"/>
    <w:rsid w:val="00CE79B7"/>
    <w:rsid w:val="00CF23DF"/>
    <w:rsid w:val="00CF3A69"/>
    <w:rsid w:val="00D62B16"/>
    <w:rsid w:val="00D669C0"/>
    <w:rsid w:val="00D71383"/>
    <w:rsid w:val="00D84E97"/>
    <w:rsid w:val="00D86DE1"/>
    <w:rsid w:val="00DA564E"/>
    <w:rsid w:val="00DB33D3"/>
    <w:rsid w:val="00DC261B"/>
    <w:rsid w:val="00DD0F11"/>
    <w:rsid w:val="00DD4041"/>
    <w:rsid w:val="00DE3C5B"/>
    <w:rsid w:val="00E05521"/>
    <w:rsid w:val="00E172E2"/>
    <w:rsid w:val="00E21396"/>
    <w:rsid w:val="00E3605F"/>
    <w:rsid w:val="00E70A5B"/>
    <w:rsid w:val="00EA5564"/>
    <w:rsid w:val="00ED0825"/>
    <w:rsid w:val="00ED2B8A"/>
    <w:rsid w:val="00ED7E7E"/>
    <w:rsid w:val="00EE4B0D"/>
    <w:rsid w:val="00EF3968"/>
    <w:rsid w:val="00EF3B02"/>
    <w:rsid w:val="00F05C94"/>
    <w:rsid w:val="00F415BB"/>
    <w:rsid w:val="00F41FF0"/>
    <w:rsid w:val="00F5046D"/>
    <w:rsid w:val="00F65A1B"/>
    <w:rsid w:val="00F916AD"/>
    <w:rsid w:val="00FC3617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61BA0"/>
  <w15:chartTrackingRefBased/>
  <w15:docId w15:val="{95731D6A-89B4-43E0-9C63-5B8FD3A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E70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DE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42DE5"/>
  </w:style>
  <w:style w:type="paragraph" w:styleId="Rodap">
    <w:name w:val="footer"/>
    <w:basedOn w:val="Normal"/>
    <w:link w:val="RodapCha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42DE5"/>
  </w:style>
  <w:style w:type="character" w:customStyle="1" w:styleId="EstiloDeEmail20">
    <w:name w:val="EstiloDeEmail20"/>
    <w:semiHidden/>
    <w:rsid w:val="00CE79B7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E0D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A15E7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15E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E7C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customStyle="1" w:styleId="DefaultFontHxMailStyle">
    <w:name w:val="Default Font HxMail Style"/>
    <w:basedOn w:val="Fontepargpadro"/>
    <w:rsid w:val="00D86DE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060"/>
      <w:u w:val="none"/>
      <w:effect w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72743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063ACE"/>
    <w:rPr>
      <w:b/>
      <w:bCs/>
      <w:sz w:val="20"/>
      <w:szCs w:val="20"/>
    </w:rPr>
  </w:style>
  <w:style w:type="paragraph" w:customStyle="1" w:styleId="plpar">
    <w:name w:val="p l_par"/>
    <w:basedOn w:val="Normal"/>
    <w:rsid w:val="00063ACE"/>
    <w:pPr>
      <w:spacing w:before="100" w:beforeAutospacing="1" w:after="100" w:afterAutospacing="1"/>
    </w:pPr>
  </w:style>
  <w:style w:type="paragraph" w:customStyle="1" w:styleId="Padro">
    <w:name w:val="Padrão"/>
    <w:rsid w:val="00132E4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Times New Roman" w:cs="Microsoft YaHei"/>
      <w:color w:val="333333"/>
      <w:kern w:val="0"/>
      <w:sz w:val="48"/>
      <w:szCs w:val="4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E70A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70A5B"/>
    <w:rPr>
      <w:b/>
      <w:bCs/>
    </w:rPr>
  </w:style>
  <w:style w:type="character" w:styleId="nfase">
    <w:name w:val="Emphasis"/>
    <w:basedOn w:val="Fontepargpadro"/>
    <w:uiPriority w:val="20"/>
    <w:qFormat/>
    <w:rsid w:val="00E70A5B"/>
    <w:rPr>
      <w:i/>
      <w:iCs/>
    </w:rPr>
  </w:style>
  <w:style w:type="character" w:customStyle="1" w:styleId="ms-1">
    <w:name w:val="ms-1"/>
    <w:basedOn w:val="Fontepargpadro"/>
    <w:rsid w:val="005F0D71"/>
  </w:style>
  <w:style w:type="character" w:customStyle="1" w:styleId="max-w-15ch">
    <w:name w:val="max-w-[15ch]"/>
    <w:basedOn w:val="Fontepargpadro"/>
    <w:rsid w:val="005F0D71"/>
  </w:style>
  <w:style w:type="character" w:customStyle="1" w:styleId="-me-1">
    <w:name w:val="-me-1"/>
    <w:basedOn w:val="Fontepargpadro"/>
    <w:rsid w:val="005F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Wendrell</dc:creator>
  <cp:keywords/>
  <dc:description/>
  <cp:lastModifiedBy>Conta da Microsoft</cp:lastModifiedBy>
  <cp:revision>2</cp:revision>
  <cp:lastPrinted>2025-11-13T22:59:00Z</cp:lastPrinted>
  <dcterms:created xsi:type="dcterms:W3CDTF">2025-11-17T19:00:00Z</dcterms:created>
  <dcterms:modified xsi:type="dcterms:W3CDTF">2025-11-17T19:00:00Z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73db00d9-472b-42a7-8174-a2ccd57d4b0c</vt:lpwstr>
  </property>
</Properties>
</file>