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58448" w14:textId="77777777" w:rsidR="00625AF2" w:rsidRDefault="00180F62">
      <w:pPr>
        <w:spacing w:after="0" w:line="259" w:lineRule="auto"/>
        <w:ind w:left="0" w:right="0" w:firstLine="0"/>
      </w:pPr>
      <w:r>
        <w:rPr>
          <w:rFonts w:ascii="Calibri" w:eastAsia="Calibri" w:hAnsi="Calibri" w:cs="Calibri"/>
        </w:rPr>
        <w:t xml:space="preserve"> </w:t>
      </w:r>
    </w:p>
    <w:p w14:paraId="02C073BC" w14:textId="77777777" w:rsidR="00625AF2" w:rsidRDefault="00180F62">
      <w:pPr>
        <w:spacing w:after="0" w:line="259" w:lineRule="auto"/>
        <w:ind w:left="370" w:right="0" w:firstLine="0"/>
        <w:jc w:val="center"/>
      </w:pPr>
      <w:r>
        <w:rPr>
          <w:rFonts w:ascii="Calibri" w:eastAsia="Calibri" w:hAnsi="Calibri" w:cs="Calibri"/>
        </w:rPr>
        <w:t xml:space="preserve">Título </w:t>
      </w:r>
    </w:p>
    <w:p w14:paraId="2C24A1E7" w14:textId="77777777" w:rsidR="00625AF2" w:rsidRDefault="00180F62">
      <w:pPr>
        <w:spacing w:after="1" w:line="357" w:lineRule="auto"/>
        <w:ind w:left="833" w:right="347" w:firstLine="0"/>
        <w:jc w:val="center"/>
      </w:pPr>
      <w:r>
        <w:rPr>
          <w:rFonts w:cs="Arial"/>
          <w:b/>
        </w:rPr>
        <w:t>O CONHECIMENTO DO JOVEM UNIVERSITÁRIO ACERCA DO PAPILOMA VÍRUS HUMANO</w:t>
      </w:r>
      <w:r>
        <w:rPr>
          <w:rFonts w:ascii="Cambria" w:eastAsia="Cambria" w:hAnsi="Cambria" w:cs="Cambria"/>
        </w:rPr>
        <w:t xml:space="preserve"> </w:t>
      </w:r>
    </w:p>
    <w:p w14:paraId="1463F403" w14:textId="77777777" w:rsidR="00625AF2" w:rsidRDefault="00180F62">
      <w:pPr>
        <w:spacing w:after="120" w:line="259" w:lineRule="auto"/>
        <w:ind w:left="476" w:right="0" w:firstLine="0"/>
        <w:jc w:val="center"/>
      </w:pPr>
      <w:r>
        <w:rPr>
          <w:rFonts w:ascii="Cambria" w:eastAsia="Cambria" w:hAnsi="Cambria" w:cs="Cambria"/>
        </w:rPr>
        <w:t xml:space="preserve"> </w:t>
      </w:r>
    </w:p>
    <w:p w14:paraId="5994E072" w14:textId="77777777" w:rsidR="00625AF2" w:rsidRDefault="00180F62">
      <w:pPr>
        <w:spacing w:after="0" w:line="259" w:lineRule="auto"/>
        <w:ind w:left="427" w:right="0" w:firstLine="0"/>
        <w:jc w:val="center"/>
      </w:pPr>
      <w:r>
        <w:rPr>
          <w:rFonts w:ascii="Calibri" w:eastAsia="Calibri" w:hAnsi="Calibri" w:cs="Calibri"/>
        </w:rPr>
        <w:t xml:space="preserve"> </w:t>
      </w:r>
    </w:p>
    <w:p w14:paraId="3F734896" w14:textId="77777777" w:rsidR="00625AF2" w:rsidRDefault="00180F62">
      <w:pPr>
        <w:spacing w:after="119" w:line="259" w:lineRule="auto"/>
        <w:ind w:left="416" w:right="0" w:firstLine="0"/>
        <w:jc w:val="center"/>
      </w:pPr>
      <w:r>
        <w:rPr>
          <w:rFonts w:ascii="Calibri" w:eastAsia="Calibri" w:hAnsi="Calibri" w:cs="Calibri"/>
          <w:b/>
        </w:rPr>
        <w:t xml:space="preserve">Autores e Orientadores </w:t>
      </w:r>
    </w:p>
    <w:p w14:paraId="44B46DCC" w14:textId="77777777" w:rsidR="00625AF2" w:rsidRDefault="00180F62">
      <w:pPr>
        <w:spacing w:line="242" w:lineRule="auto"/>
        <w:ind w:left="1047"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66F2E0B" wp14:editId="2246553B">
                <wp:simplePos x="0" y="0"/>
                <wp:positionH relativeFrom="page">
                  <wp:posOffset>14606</wp:posOffset>
                </wp:positionH>
                <wp:positionV relativeFrom="page">
                  <wp:posOffset>0</wp:posOffset>
                </wp:positionV>
                <wp:extent cx="7528560" cy="1508244"/>
                <wp:effectExtent l="0" t="0" r="0" b="0"/>
                <wp:wrapTopAndBottom/>
                <wp:docPr id="4294" name="Group 4294"/>
                <wp:cNvGraphicFramePr/>
                <a:graphic xmlns:a="http://schemas.openxmlformats.org/drawingml/2006/main">
                  <a:graphicData uri="http://schemas.microsoft.com/office/word/2010/wordprocessingGroup">
                    <wpg:wgp>
                      <wpg:cNvGrpSpPr/>
                      <wpg:grpSpPr>
                        <a:xfrm>
                          <a:off x="0" y="0"/>
                          <a:ext cx="7528560" cy="1508244"/>
                          <a:chOff x="0" y="0"/>
                          <a:chExt cx="7528560" cy="1508244"/>
                        </a:xfrm>
                      </wpg:grpSpPr>
                      <pic:pic xmlns:pic="http://schemas.openxmlformats.org/drawingml/2006/picture">
                        <pic:nvPicPr>
                          <pic:cNvPr id="534" name="Picture 534"/>
                          <pic:cNvPicPr/>
                        </pic:nvPicPr>
                        <pic:blipFill>
                          <a:blip r:embed="rId6"/>
                          <a:stretch>
                            <a:fillRect/>
                          </a:stretch>
                        </pic:blipFill>
                        <pic:spPr>
                          <a:xfrm>
                            <a:off x="4125594" y="1320800"/>
                            <a:ext cx="38100" cy="171450"/>
                          </a:xfrm>
                          <a:prstGeom prst="rect">
                            <a:avLst/>
                          </a:prstGeom>
                        </pic:spPr>
                      </pic:pic>
                      <wps:wsp>
                        <wps:cNvPr id="535" name="Rectangle 535"/>
                        <wps:cNvSpPr/>
                        <wps:spPr>
                          <a:xfrm>
                            <a:off x="4127245" y="1371743"/>
                            <a:ext cx="38269" cy="172474"/>
                          </a:xfrm>
                          <a:prstGeom prst="rect">
                            <a:avLst/>
                          </a:prstGeom>
                          <a:ln>
                            <a:noFill/>
                          </a:ln>
                        </wps:spPr>
                        <wps:txbx>
                          <w:txbxContent>
                            <w:p w14:paraId="6E0CAE12" w14:textId="77777777" w:rsidR="00625AF2" w:rsidRDefault="00180F62">
                              <w:pPr>
                                <w:spacing w:after="160" w:line="259" w:lineRule="auto"/>
                                <w:ind w:left="0" w:right="0" w:firstLine="0"/>
                              </w:pPr>
                              <w:r>
                                <w:rPr>
                                  <w:rFonts w:ascii="Calibri" w:eastAsia="Calibri" w:hAnsi="Calibri" w:cs="Calibri"/>
                                  <w:sz w:val="20"/>
                                </w:rPr>
                                <w:t xml:space="preserve"> </w:t>
                              </w:r>
                            </w:p>
                          </w:txbxContent>
                        </wps:txbx>
                        <wps:bodyPr horzOverflow="overflow" vert="horz" lIns="0" tIns="0" rIns="0" bIns="0" rtlCol="0">
                          <a:noAutofit/>
                        </wps:bodyPr>
                      </wps:wsp>
                      <wps:wsp>
                        <wps:cNvPr id="536" name="Rectangle 536"/>
                        <wps:cNvSpPr/>
                        <wps:spPr>
                          <a:xfrm>
                            <a:off x="4156074" y="1352693"/>
                            <a:ext cx="45904" cy="206883"/>
                          </a:xfrm>
                          <a:prstGeom prst="rect">
                            <a:avLst/>
                          </a:prstGeom>
                          <a:ln>
                            <a:noFill/>
                          </a:ln>
                        </wps:spPr>
                        <wps:txbx>
                          <w:txbxContent>
                            <w:p w14:paraId="5A773569" w14:textId="77777777" w:rsidR="00625AF2" w:rsidRDefault="00180F62">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38" name="Picture 538"/>
                          <pic:cNvPicPr/>
                        </pic:nvPicPr>
                        <pic:blipFill>
                          <a:blip r:embed="rId7"/>
                          <a:stretch>
                            <a:fillRect/>
                          </a:stretch>
                        </pic:blipFill>
                        <pic:spPr>
                          <a:xfrm>
                            <a:off x="0" y="0"/>
                            <a:ext cx="7528560" cy="1405128"/>
                          </a:xfrm>
                          <a:prstGeom prst="rect">
                            <a:avLst/>
                          </a:prstGeom>
                        </pic:spPr>
                      </pic:pic>
                    </wpg:wgp>
                  </a:graphicData>
                </a:graphic>
              </wp:anchor>
            </w:drawing>
          </mc:Choice>
          <mc:Fallback xmlns:a="http://schemas.openxmlformats.org/drawingml/2006/main">
            <w:pict>
              <v:group id="Group 4294" style="width:592.8pt;height:118.759pt;position:absolute;mso-position-horizontal-relative:page;mso-position-horizontal:absolute;margin-left:1.1501pt;mso-position-vertical-relative:page;margin-top:1.52588e-05pt;" coordsize="75285,15082">
                <v:shape id="Picture 534" style="position:absolute;width:381;height:1714;left:41255;top:13208;" filled="f">
                  <v:imagedata r:id="rId8"/>
                </v:shape>
                <v:rect id="Rectangle 535" style="position:absolute;width:382;height:1724;left:41272;top:13717;" filled="f" stroked="f">
                  <v:textbox inset="0,0,0,0">
                    <w:txbxContent>
                      <w:p>
                        <w:pPr>
                          <w:spacing w:before="0" w:after="160" w:line="259" w:lineRule="auto"/>
                          <w:ind w:left="0" w:right="0" w:firstLine="0"/>
                        </w:pPr>
                        <w:r>
                          <w:rPr>
                            <w:rFonts w:cs="Calibri" w:hAnsi="Calibri" w:eastAsia="Calibri" w:ascii="Calibri"/>
                            <w:sz w:val="20"/>
                          </w:rPr>
                          <w:t xml:space="preserve"> </w:t>
                        </w:r>
                      </w:p>
                    </w:txbxContent>
                  </v:textbox>
                </v:rect>
                <v:rect id="Rectangle 536" style="position:absolute;width:459;height:2068;left:41560;top:13526;"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shape id="Picture 538" style="position:absolute;width:75285;height:14051;left:0;top:0;" filled="f">
                  <v:imagedata r:id="rId9"/>
                </v:shape>
                <w10:wrap type="topAndBottom"/>
              </v:group>
            </w:pict>
          </mc:Fallback>
        </mc:AlternateContent>
      </w:r>
      <w:r>
        <w:rPr>
          <w:noProof/>
        </w:rPr>
        <w:drawing>
          <wp:anchor distT="0" distB="0" distL="114300" distR="114300" simplePos="0" relativeHeight="251659264" behindDoc="0" locked="0" layoutInCell="1" allowOverlap="0" wp14:anchorId="7F408E39" wp14:editId="6A9D2015">
            <wp:simplePos x="0" y="0"/>
            <wp:positionH relativeFrom="page">
              <wp:posOffset>19050</wp:posOffset>
            </wp:positionH>
            <wp:positionV relativeFrom="page">
              <wp:posOffset>10022839</wp:posOffset>
            </wp:positionV>
            <wp:extent cx="7525512" cy="673608"/>
            <wp:effectExtent l="0" t="0" r="0" b="0"/>
            <wp:wrapTopAndBottom/>
            <wp:docPr id="4835" name="Picture 4835"/>
            <wp:cNvGraphicFramePr/>
            <a:graphic xmlns:a="http://schemas.openxmlformats.org/drawingml/2006/main">
              <a:graphicData uri="http://schemas.openxmlformats.org/drawingml/2006/picture">
                <pic:pic xmlns:pic="http://schemas.openxmlformats.org/drawingml/2006/picture">
                  <pic:nvPicPr>
                    <pic:cNvPr id="4835" name="Picture 4835"/>
                    <pic:cNvPicPr/>
                  </pic:nvPicPr>
                  <pic:blipFill>
                    <a:blip r:embed="rId10"/>
                    <a:stretch>
                      <a:fillRect/>
                    </a:stretch>
                  </pic:blipFill>
                  <pic:spPr>
                    <a:xfrm>
                      <a:off x="0" y="0"/>
                      <a:ext cx="7525512" cy="673608"/>
                    </a:xfrm>
                    <a:prstGeom prst="rect">
                      <a:avLst/>
                    </a:prstGeom>
                  </pic:spPr>
                </pic:pic>
              </a:graphicData>
            </a:graphic>
          </wp:anchor>
        </w:drawing>
      </w:r>
      <w:r>
        <w:t xml:space="preserve">Izabelly Gabriel Rufino dos Santos </w:t>
      </w:r>
      <w:r>
        <w:rPr>
          <w:rFonts w:cs="Arial"/>
        </w:rPr>
        <w:t>–</w:t>
      </w:r>
      <w:r>
        <w:t xml:space="preserve"> Instituto Brasileiro de Medicina de Reabilitação (IBMR);</w:t>
      </w:r>
      <w:r>
        <w:rPr>
          <w:rFonts w:ascii="Cambria" w:eastAsia="Cambria" w:hAnsi="Cambria" w:cs="Cambria"/>
        </w:rPr>
        <w:t xml:space="preserve"> </w:t>
      </w:r>
    </w:p>
    <w:p w14:paraId="58E4F3A4" w14:textId="77777777" w:rsidR="00625AF2" w:rsidRDefault="00180F62">
      <w:pPr>
        <w:spacing w:line="259" w:lineRule="auto"/>
        <w:ind w:left="10" w:right="913"/>
        <w:jc w:val="right"/>
      </w:pPr>
      <w:r>
        <w:t xml:space="preserve">Ana Carolina de Queiroz Leal </w:t>
      </w:r>
      <w:r>
        <w:rPr>
          <w:rFonts w:cs="Arial"/>
        </w:rPr>
        <w:t>–</w:t>
      </w:r>
      <w:r>
        <w:t xml:space="preserve"> Instituto Brasileiro de Medicina de Reabilitação (IBMR);</w:t>
      </w:r>
      <w:r>
        <w:rPr>
          <w:rFonts w:ascii="Cambria" w:eastAsia="Cambria" w:hAnsi="Cambria" w:cs="Cambria"/>
        </w:rPr>
        <w:t xml:space="preserve"> </w:t>
      </w:r>
    </w:p>
    <w:p w14:paraId="6263ADD2" w14:textId="77777777" w:rsidR="00625AF2" w:rsidRDefault="00180F62">
      <w:pPr>
        <w:spacing w:line="259" w:lineRule="auto"/>
        <w:ind w:left="1566" w:right="0"/>
      </w:pPr>
      <w:r>
        <w:t xml:space="preserve">Juliana Teixeira da Silva </w:t>
      </w:r>
      <w:r>
        <w:rPr>
          <w:rFonts w:cs="Arial"/>
        </w:rPr>
        <w:t>–</w:t>
      </w:r>
      <w:r>
        <w:t xml:space="preserve"> Instituto Brasileiro de Medicina de Reabilitação (IBMR); </w:t>
      </w:r>
    </w:p>
    <w:p w14:paraId="251049ED" w14:textId="77777777" w:rsidR="00625AF2" w:rsidRDefault="00180F62">
      <w:pPr>
        <w:spacing w:line="259" w:lineRule="auto"/>
        <w:ind w:left="10" w:right="852"/>
        <w:jc w:val="right"/>
      </w:pPr>
      <w:r>
        <w:t xml:space="preserve">Nathalia Diniz de Brito </w:t>
      </w:r>
      <w:r>
        <w:rPr>
          <w:rFonts w:cs="Arial"/>
        </w:rPr>
        <w:t>–</w:t>
      </w:r>
      <w:r>
        <w:t xml:space="preserve"> Instituto Brasileiro de Medicina de Reabilitação (IBMR); Sabrina </w:t>
      </w:r>
    </w:p>
    <w:p w14:paraId="7CF0CD81" w14:textId="77777777" w:rsidR="00625AF2" w:rsidRDefault="00180F62">
      <w:pPr>
        <w:spacing w:line="259" w:lineRule="auto"/>
        <w:ind w:left="10" w:right="1040"/>
        <w:jc w:val="right"/>
      </w:pPr>
      <w:r>
        <w:t xml:space="preserve">Letícia Gonçalves Santos </w:t>
      </w:r>
      <w:r>
        <w:rPr>
          <w:rFonts w:cs="Arial"/>
        </w:rPr>
        <w:t>–</w:t>
      </w:r>
      <w:r>
        <w:t xml:space="preserve"> Instituto Brasileiro de Medicina de Reabilitação (IBMR);</w:t>
      </w:r>
      <w:r>
        <w:rPr>
          <w:rFonts w:ascii="Cambria" w:eastAsia="Cambria" w:hAnsi="Cambria" w:cs="Cambria"/>
        </w:rPr>
        <w:t xml:space="preserve"> </w:t>
      </w:r>
    </w:p>
    <w:p w14:paraId="3D08C7D9" w14:textId="77777777" w:rsidR="00625AF2" w:rsidRDefault="00180F62">
      <w:pPr>
        <w:spacing w:line="259" w:lineRule="auto"/>
        <w:ind w:left="10" w:right="962"/>
        <w:jc w:val="right"/>
      </w:pPr>
      <w:r>
        <w:t xml:space="preserve">Sara Corrêa Campos </w:t>
      </w:r>
      <w:r>
        <w:rPr>
          <w:rFonts w:cs="Arial"/>
        </w:rPr>
        <w:t>–</w:t>
      </w:r>
      <w:r>
        <w:t xml:space="preserve"> Instituto Brasileiro de Medicina de Reabilitação (IBMR); Tarsila </w:t>
      </w:r>
    </w:p>
    <w:p w14:paraId="14E79E96" w14:textId="77777777" w:rsidR="00625AF2" w:rsidRDefault="00180F62">
      <w:pPr>
        <w:spacing w:line="259" w:lineRule="auto"/>
        <w:ind w:left="10" w:right="1040"/>
        <w:jc w:val="right"/>
      </w:pPr>
      <w:r>
        <w:t xml:space="preserve">Fiuza Carvalho dos Santos </w:t>
      </w:r>
      <w:r>
        <w:rPr>
          <w:rFonts w:cs="Arial"/>
        </w:rPr>
        <w:t>–</w:t>
      </w:r>
      <w:r>
        <w:t xml:space="preserve"> Instituto Brasileiro de Medicina de Reabilitação (IBMR);</w:t>
      </w:r>
      <w:r>
        <w:rPr>
          <w:rFonts w:ascii="Cambria" w:eastAsia="Cambria" w:hAnsi="Cambria" w:cs="Cambria"/>
        </w:rPr>
        <w:t xml:space="preserve"> </w:t>
      </w:r>
    </w:p>
    <w:p w14:paraId="14BB904D" w14:textId="77777777" w:rsidR="00625AF2" w:rsidRDefault="00180F62">
      <w:pPr>
        <w:spacing w:line="259" w:lineRule="auto"/>
        <w:ind w:left="10" w:right="1040"/>
        <w:jc w:val="right"/>
      </w:pPr>
      <w:r>
        <w:t xml:space="preserve">Viviane de Melo Souza </w:t>
      </w:r>
      <w:r>
        <w:rPr>
          <w:rFonts w:cs="Arial"/>
        </w:rPr>
        <w:t>–</w:t>
      </w:r>
      <w:r>
        <w:t xml:space="preserve"> Instituto Brasileiro de Medicina de Reabilitação (IBMR) (Dr)</w:t>
      </w:r>
      <w:r>
        <w:rPr>
          <w:rFonts w:ascii="Cambria" w:eastAsia="Cambria" w:hAnsi="Cambria" w:cs="Cambria"/>
        </w:rPr>
        <w:t xml:space="preserve"> </w:t>
      </w:r>
    </w:p>
    <w:p w14:paraId="7A9B8919" w14:textId="77777777" w:rsidR="00625AF2" w:rsidRDefault="00180F62">
      <w:pPr>
        <w:spacing w:after="0" w:line="259" w:lineRule="auto"/>
        <w:ind w:left="433" w:right="0" w:firstLine="0"/>
        <w:jc w:val="center"/>
      </w:pPr>
      <w:r>
        <w:rPr>
          <w:rFonts w:ascii="Cambria" w:eastAsia="Cambria" w:hAnsi="Cambria" w:cs="Cambria"/>
          <w:sz w:val="27"/>
        </w:rPr>
        <w:t xml:space="preserve"> </w:t>
      </w:r>
    </w:p>
    <w:p w14:paraId="3BE78DF3" w14:textId="77777777" w:rsidR="00625AF2" w:rsidRDefault="00180F62">
      <w:pPr>
        <w:spacing w:after="0" w:line="259" w:lineRule="auto"/>
        <w:ind w:left="1136" w:right="0" w:firstLine="0"/>
      </w:pPr>
      <w:r>
        <w:rPr>
          <w:rFonts w:ascii="Calibri" w:eastAsia="Calibri" w:hAnsi="Calibri" w:cs="Calibri"/>
        </w:rPr>
        <w:t xml:space="preserve"> </w:t>
      </w:r>
      <w:r>
        <w:br w:type="page"/>
      </w:r>
    </w:p>
    <w:p w14:paraId="3D3D8582" w14:textId="77777777" w:rsidR="00625AF2" w:rsidRDefault="00180F62">
      <w:pPr>
        <w:pStyle w:val="Ttulo1"/>
        <w:ind w:left="1176"/>
      </w:pPr>
      <w:r>
        <w:t xml:space="preserve">Resumo  </w:t>
      </w:r>
    </w:p>
    <w:p w14:paraId="7C37AB15" w14:textId="77777777" w:rsidR="00625AF2" w:rsidRDefault="00180F62">
      <w:pPr>
        <w:spacing w:line="361" w:lineRule="auto"/>
        <w:ind w:left="1176" w:right="0" w:firstLine="0"/>
      </w:pPr>
      <w:r>
        <w:rPr>
          <w:rFonts w:cs="Arial"/>
        </w:rPr>
        <w:t>Estando a sexualidade cada vez mais banalizada pela sociedade acaba sendo esquecido as questões que deveriam ser expostas e naturalizadas, como é o caso do sexo inseguro e as</w:t>
      </w:r>
      <w:r>
        <w:t xml:space="preserve"> </w:t>
      </w:r>
      <w:r>
        <w:rPr>
          <w:rFonts w:cs="Arial"/>
        </w:rPr>
        <w:t>ISTs.</w:t>
      </w:r>
      <w:r>
        <w:t xml:space="preserve"> </w:t>
      </w:r>
      <w:r>
        <w:rPr>
          <w:rFonts w:cs="Arial"/>
          <w:b/>
        </w:rPr>
        <w:t xml:space="preserve">Objetivo: </w:t>
      </w:r>
      <w:r>
        <w:rPr>
          <w:rFonts w:cs="Arial"/>
        </w:rPr>
        <w:t xml:space="preserve">Analisar o conhecimento do jovem universitário sobre o HPV, correlacionando com a influência de fatores sociodemográficos e comportamentais nessa </w:t>
      </w:r>
    </w:p>
    <w:p w14:paraId="7EAB432E" w14:textId="77777777" w:rsidR="00625AF2" w:rsidRDefault="00180F62">
      <w:pPr>
        <w:spacing w:line="361" w:lineRule="auto"/>
        <w:ind w:left="1176" w:right="0" w:firstLine="0"/>
      </w:pPr>
      <w:r>
        <w:rPr>
          <w:rFonts w:cs="Arial"/>
        </w:rPr>
        <w:t>compreensão.</w:t>
      </w:r>
      <w:r>
        <w:t xml:space="preserve"> </w:t>
      </w:r>
      <w:r>
        <w:rPr>
          <w:rFonts w:cs="Arial"/>
          <w:b/>
        </w:rPr>
        <w:t xml:space="preserve">Objetivos Específicos: </w:t>
      </w:r>
      <w:r>
        <w:rPr>
          <w:rFonts w:cs="Arial"/>
        </w:rPr>
        <w:t>Identificar os fatores sociodemográficos associados ao nível de conhecimento sobre o HPV entre jovens universitários; analisar a relação entre as práticas sexuais e o conhecimento sobre o HPV na população universitária.</w:t>
      </w:r>
      <w:r>
        <w:t xml:space="preserve"> </w:t>
      </w:r>
      <w:r>
        <w:rPr>
          <w:rFonts w:cs="Arial"/>
          <w:b/>
        </w:rPr>
        <w:t>Método:</w:t>
      </w:r>
      <w:r>
        <w:t xml:space="preserve">  </w:t>
      </w:r>
      <w:r>
        <w:rPr>
          <w:rFonts w:cs="Arial"/>
        </w:rPr>
        <w:t>estudo descritivo descritivo-qualitativo, não-experimental, pautado em estudo de campo, por meio de autorrelatos mediados por entrevistas via Google</w:t>
      </w:r>
      <w:r>
        <w:t xml:space="preserve"> </w:t>
      </w:r>
      <w:r>
        <w:rPr>
          <w:rFonts w:cs="Arial"/>
        </w:rPr>
        <w:t>forms</w:t>
      </w:r>
      <w:r>
        <w:t xml:space="preserve"> </w:t>
      </w:r>
      <w:r>
        <w:rPr>
          <w:rFonts w:cs="Arial"/>
        </w:rPr>
        <w:t>utilizando um formulário semiestruturado elaborado pelos autores.</w:t>
      </w:r>
      <w:r>
        <w:t xml:space="preserve"> </w:t>
      </w:r>
      <w:r>
        <w:rPr>
          <w:rFonts w:cs="Arial"/>
          <w:b/>
        </w:rPr>
        <w:t>Resultados Esperados:</w:t>
      </w:r>
      <w:r>
        <w:rPr>
          <w:rFonts w:cs="Arial"/>
        </w:rPr>
        <w:t>Espera-se que esta pesquisa identifique quais fatores sociais e comportamentais estão mais fortemente associados ao conhecimento do HPV na população universitária.</w:t>
      </w:r>
      <w:r>
        <w:t xml:space="preserve"> </w:t>
      </w:r>
    </w:p>
    <w:p w14:paraId="0B3D33F9" w14:textId="77777777" w:rsidR="00625AF2" w:rsidRDefault="00180F62">
      <w:pPr>
        <w:spacing w:line="361" w:lineRule="auto"/>
        <w:ind w:left="1176" w:right="0" w:firstLine="0"/>
      </w:pPr>
      <w:r>
        <w:rPr>
          <w:rFonts w:cs="Arial"/>
          <w:b/>
        </w:rPr>
        <w:t xml:space="preserve">Palavras-chave: </w:t>
      </w:r>
      <w:r>
        <w:rPr>
          <w:rFonts w:cs="Arial"/>
        </w:rPr>
        <w:t>Papilomavírus humano (HPV), Estudantes universitários, Educação sexual, Prevenção em Saúde.</w:t>
      </w:r>
      <w:r>
        <w:t xml:space="preserve"> </w:t>
      </w:r>
    </w:p>
    <w:p w14:paraId="45FF9F77" w14:textId="77777777" w:rsidR="00625AF2" w:rsidRDefault="00180F62">
      <w:pPr>
        <w:spacing w:after="112" w:line="259" w:lineRule="auto"/>
        <w:ind w:left="1136" w:right="0" w:firstLine="0"/>
      </w:pPr>
      <w:r>
        <w:rPr>
          <w:rFonts w:cs="Arial"/>
        </w:rPr>
        <w:t xml:space="preserve"> </w:t>
      </w:r>
      <w:r>
        <w:t xml:space="preserve"> </w:t>
      </w:r>
    </w:p>
    <w:p w14:paraId="7A95610F" w14:textId="77777777" w:rsidR="00625AF2" w:rsidRDefault="00180F62">
      <w:pPr>
        <w:spacing w:after="122" w:line="259" w:lineRule="auto"/>
        <w:ind w:left="1136" w:right="0" w:firstLine="0"/>
      </w:pPr>
      <w:r>
        <w:rPr>
          <w:rFonts w:cs="Arial"/>
        </w:rPr>
        <w:t xml:space="preserve"> </w:t>
      </w:r>
      <w:r>
        <w:t xml:space="preserve"> </w:t>
      </w:r>
    </w:p>
    <w:p w14:paraId="4FB96B91" w14:textId="77777777" w:rsidR="00625AF2" w:rsidRDefault="00180F62">
      <w:pPr>
        <w:pStyle w:val="Ttulo1"/>
        <w:ind w:left="1176"/>
      </w:pPr>
      <w:r>
        <w:t xml:space="preserve">Introdução  </w:t>
      </w:r>
    </w:p>
    <w:p w14:paraId="176081E7" w14:textId="77777777" w:rsidR="00625AF2" w:rsidRDefault="00180F62">
      <w:pPr>
        <w:ind w:left="1131" w:right="0"/>
      </w:pPr>
      <w:r>
        <w:t>Estando a sexualidade cada vez mais banalizada pela sociedade acaba sendo esquecido as questões que deveriam ser expostas e naturalizadas, como é o caso do sexo inseguro e as ISTs. Por exemplo, o vírus do papiloma humano (HPV) é um importante agente etiológico de neoplasias do colo uterino. Existem aproximadamente 100 subtipos causadores de lesões benignas ou malignas no trato ano-genital humano (HANSEN, VILLE, 1994; SMITH et al, 2007).</w:t>
      </w:r>
      <w:r>
        <w:rPr>
          <w:rFonts w:ascii="Cambria" w:eastAsia="Cambria" w:hAnsi="Cambria" w:cs="Cambria"/>
        </w:rPr>
        <w:t xml:space="preserve"> </w:t>
      </w:r>
      <w:r>
        <w:t>Dados mundiais mostram consistentemente que a prevalência de HPV é maior em mulheres mais jovens, a maioria de quem irá curar a infecção dentro de 10 meses. O pico inicial da prevalência de HPV por idade é explicado por uma rápida aquisição de HPV na época da primeira relação sexul em um indivíduo previamente não exposto ou imune-ingênuo (GIULIANO, HARRIS, 2002; WEAVER et al, 2011; WINER,  LEE, HUGHES, 2003). Existem mais de 100 tipos de HPV, sendo que cerca de 15 (tipos 16, 18, 31, 33, 45, 58 e outros) são considerados de alto risco para malignidade (BRICKS, 2007).</w:t>
      </w:r>
      <w:r>
        <w:rPr>
          <w:rFonts w:ascii="Cambria" w:eastAsia="Cambria" w:hAnsi="Cambria" w:cs="Cambria"/>
        </w:rPr>
        <w:t xml:space="preserve"> </w:t>
      </w:r>
    </w:p>
    <w:p w14:paraId="6C6447CB" w14:textId="77777777" w:rsidR="00625AF2" w:rsidRDefault="00180F62">
      <w:pPr>
        <w:ind w:left="1131" w:right="0"/>
      </w:pPr>
      <w:r>
        <w:t xml:space="preserve">Os tipos de HPV de alto risco mais comuns podem ser efetivamente prevenidos pela vacinação contra o HPV, e programas de vacinação são implementados em todo o mundo. A cobertura é abaixo do ideal em muitos países, e a hesitação da vacina é cada vez maior desafiar globalmente (BRUNI et al, 2016; GOLDSTEIN, MACDONALD, GUIRGUIS, 2015; DUBE, </w:t>
      </w:r>
    </w:p>
    <w:p w14:paraId="5E231E85" w14:textId="77777777" w:rsidR="00625AF2" w:rsidRDefault="00180F62">
      <w:pPr>
        <w:spacing w:after="111" w:line="259" w:lineRule="auto"/>
        <w:ind w:left="1131" w:right="0"/>
      </w:pPr>
      <w:r>
        <w:t>GAGNON, MACDONALD, 2015)</w:t>
      </w:r>
      <w:r>
        <w:rPr>
          <w:rFonts w:ascii="Cambria" w:eastAsia="Cambria" w:hAnsi="Cambria" w:cs="Cambria"/>
        </w:rPr>
        <w:t xml:space="preserve"> </w:t>
      </w:r>
    </w:p>
    <w:p w14:paraId="0456C430" w14:textId="77777777" w:rsidR="00625AF2" w:rsidRDefault="00180F62">
      <w:pPr>
        <w:ind w:left="1131" w:right="0"/>
      </w:pPr>
      <w:r>
        <w:t>Considerando a complexidade da ocorrência do HPV, destaca-se a preocupação em se valorizar os sentidos da prevenção na população juvenil, subjacente ao desencadeamento da vivência sexual (COSTA, GOLDENBERG, 2013). O comportamento sexual se alterou ao longo dos anos, passando de um padrão tradicional que privilegiava a sexualidade associada à reprodução, para a liberação sexual. Desvinculada a atividade sexual da reprodução, destaca-se, em primeira instância, a questão da prevenção da gravidez (GUERRA, GOUVEIA, 2007). No decorrer desse movimento, registra-se o aumento das Infecções Sexualmente Transmissíveis, o que amplifica o escopo da preocupação com a prevenção circunscrita em torno da contracepção.</w:t>
      </w:r>
      <w:r>
        <w:rPr>
          <w:rFonts w:ascii="Cambria" w:eastAsia="Cambria" w:hAnsi="Cambria" w:cs="Cambria"/>
        </w:rPr>
        <w:t xml:space="preserve"> </w:t>
      </w:r>
    </w:p>
    <w:p w14:paraId="0FB1202F" w14:textId="77777777" w:rsidR="00625AF2" w:rsidRDefault="00180F62">
      <w:pPr>
        <w:ind w:left="1131" w:right="0"/>
      </w:pPr>
      <w:r>
        <w:t>Neste contexto, o reconhecimento da importância do HPV e dos agravos associados emerge como um novo desafio no âmbito da saúde pública, levando em conta as especificidades das formas de transmissão e de manifestação ao longo da vida. Lembrando que o preservativo não elimina totalmente o risco de contrair o vírus (ARCOVERDE, WALL, 2005), a recusa ao seu uso constitui sério entrave para os programas de prevenção.</w:t>
      </w:r>
      <w:r>
        <w:rPr>
          <w:rFonts w:ascii="Cambria" w:eastAsia="Cambria" w:hAnsi="Cambria" w:cs="Cambria"/>
        </w:rPr>
        <w:t xml:space="preserve"> </w:t>
      </w:r>
    </w:p>
    <w:p w14:paraId="192C6E23" w14:textId="77777777" w:rsidR="00625AF2" w:rsidRDefault="00180F62">
      <w:pPr>
        <w:ind w:left="1131" w:right="0"/>
      </w:pPr>
      <w:r>
        <w:t>Muito já se avançou na detecção precoce do câncer cervical no Brasil, contudo, apesar de todos os avanços, ainda é alta a incidência de diagnóstico tardio e mortalidade por câncer do colo do útero em países em desenvolvimento como o Brasil.</w:t>
      </w:r>
      <w:r>
        <w:rPr>
          <w:rFonts w:ascii="Cambria" w:eastAsia="Cambria" w:hAnsi="Cambria" w:cs="Cambria"/>
        </w:rPr>
        <w:t xml:space="preserve"> </w:t>
      </w:r>
    </w:p>
    <w:p w14:paraId="5889FDFE" w14:textId="77777777" w:rsidR="00625AF2" w:rsidRDefault="00180F62">
      <w:pPr>
        <w:spacing w:after="124" w:line="259" w:lineRule="auto"/>
        <w:ind w:left="1181" w:right="0" w:firstLine="0"/>
      </w:pPr>
      <w:r>
        <w:rPr>
          <w:rFonts w:ascii="Calibri" w:eastAsia="Calibri" w:hAnsi="Calibri" w:cs="Calibri"/>
          <w:b/>
        </w:rPr>
        <w:t xml:space="preserve"> </w:t>
      </w:r>
    </w:p>
    <w:p w14:paraId="40E1EBD7" w14:textId="77777777" w:rsidR="00625AF2" w:rsidRDefault="00180F62">
      <w:pPr>
        <w:pStyle w:val="Ttulo1"/>
        <w:ind w:left="1176"/>
      </w:pPr>
      <w:r>
        <w:t xml:space="preserve">Métodos </w:t>
      </w:r>
    </w:p>
    <w:p w14:paraId="36216688" w14:textId="77777777" w:rsidR="00625AF2" w:rsidRDefault="00180F62">
      <w:pPr>
        <w:ind w:left="1131" w:right="0"/>
      </w:pPr>
      <w:r>
        <w:rPr>
          <w:rFonts w:ascii="Times New Roman" w:eastAsia="Times New Roman" w:hAnsi="Times New Roman"/>
        </w:rPr>
        <w:t xml:space="preserve"> </w:t>
      </w:r>
      <w:r>
        <w:t>Trata-se de um estudo descritivo descritivo-qualitativo, não-experimental, pautado em estudo de campo, por meio de autorrelatos mediados por entrevistas via Google forms utilizando um formulário semiestruturado elaborado pelos autores. A escolha deste delineamento deve-se ao fato de que os estudos descritivos expõem as características de todos os aspectos de uma doença. Estes estudos se debruçam sobre os aspectos individuais como sexo, idade, entre outros (SILVEIRA, 2014). O Estudo Transversal avalia ambos os desfecho e exposição simultaneamente. É um tipo de pesquisa que analisa dados em um determinado momento para avaliar a prevalência de uma condição ou a exposição a um fator de risco (SILVEIRA, 2014). Foi elaborado um instrumento para coleta de dados através de um formulário via software Google Forms ®.</w:t>
      </w:r>
      <w:r>
        <w:rPr>
          <w:rFonts w:ascii="Cambria" w:eastAsia="Cambria" w:hAnsi="Cambria" w:cs="Cambria"/>
        </w:rPr>
        <w:t xml:space="preserve"> </w:t>
      </w:r>
    </w:p>
    <w:p w14:paraId="3A673790" w14:textId="77777777" w:rsidR="00625AF2" w:rsidRDefault="00180F62">
      <w:pPr>
        <w:ind w:left="1131" w:right="0"/>
      </w:pPr>
      <w:r>
        <w:t>Para assegurar a proteção dos direitos e a autonomia dos participantes, será utilizado o Termo de Consentimento Livre e Esclarecido (TCLE), que será apresentado antes da participação na pesquisa. Este documento irá esclarecer os detalhes da pesquisa, incluindo procedimentos, riscos, benefícios, direitos dos participantes, e as salvaguardas para sua privacidade e confidencialidade. A recolha de dados será realizada por meio de análise dos formulários respondidos, que irão direcionar o foco das discussões. A análise dos dados será tratada por estatística simples pelo software Microsoft Excel®.</w:t>
      </w:r>
      <w:r>
        <w:rPr>
          <w:rFonts w:ascii="Cambria" w:eastAsia="Cambria" w:hAnsi="Cambria" w:cs="Cambria"/>
        </w:rPr>
        <w:t xml:space="preserve"> </w:t>
      </w:r>
    </w:p>
    <w:p w14:paraId="24CB6615" w14:textId="77777777" w:rsidR="00625AF2" w:rsidRDefault="00180F62">
      <w:pPr>
        <w:ind w:left="1131" w:right="0"/>
      </w:pPr>
      <w:r>
        <w:t>O estudo pretende coletar os dados entre o período de junho de 2025 a agosto de 2025, utilizando a técnica snowball sampling, onde informantes-chave (colegas de turma das pesquisadoras envolvidas) indicarão novos participantes voluntários. Morris (2004, apud Albuquerque, 2009), defende essa técnica metodológica salientando que por meio dela é possível coletar informações em dois níveis: o primeiro, referindo-se às informações sobre os indivíduos participantes da amostra; e o segundo, envolvendo informações que tratam das relações entre esses participantes.</w:t>
      </w:r>
      <w:r>
        <w:rPr>
          <w:rFonts w:ascii="Cambria" w:eastAsia="Cambria" w:hAnsi="Cambria" w:cs="Cambria"/>
        </w:rPr>
        <w:t xml:space="preserve"> </w:t>
      </w:r>
    </w:p>
    <w:p w14:paraId="2A17F425" w14:textId="77777777" w:rsidR="00625AF2" w:rsidRDefault="00180F62">
      <w:pPr>
        <w:spacing w:after="249" w:line="259" w:lineRule="auto"/>
        <w:ind w:left="1181" w:right="0" w:firstLine="0"/>
      </w:pPr>
      <w:r>
        <w:rPr>
          <w:rFonts w:ascii="Calibri" w:eastAsia="Calibri" w:hAnsi="Calibri" w:cs="Calibri"/>
          <w:b/>
        </w:rPr>
        <w:t xml:space="preserve"> </w:t>
      </w:r>
    </w:p>
    <w:p w14:paraId="73FDF1FA" w14:textId="77777777" w:rsidR="00625AF2" w:rsidRDefault="00180F62">
      <w:pPr>
        <w:spacing w:after="0" w:line="259" w:lineRule="auto"/>
        <w:ind w:left="1136" w:right="0" w:firstLine="0"/>
      </w:pPr>
      <w:r>
        <w:rPr>
          <w:rFonts w:ascii="Calibri" w:eastAsia="Calibri" w:hAnsi="Calibri" w:cs="Calibri"/>
        </w:rPr>
        <w:t xml:space="preserve"> </w:t>
      </w:r>
    </w:p>
    <w:p w14:paraId="7038E90C" w14:textId="77777777" w:rsidR="00625AF2" w:rsidRDefault="00180F62">
      <w:pPr>
        <w:pStyle w:val="Ttulo1"/>
        <w:ind w:left="1176"/>
      </w:pPr>
      <w:r>
        <w:t xml:space="preserve">Resultados e Discussões </w:t>
      </w:r>
    </w:p>
    <w:p w14:paraId="52515A7C" w14:textId="77777777" w:rsidR="00625AF2" w:rsidRDefault="00180F62">
      <w:pPr>
        <w:ind w:left="1131" w:right="0"/>
      </w:pPr>
      <w:r>
        <w:t>A maioria dos participantes era jovem (18 a 23 anos) e solteira, representando um público sexualmente ativo. A maioria morava com os pais, refletindo a dinâmica demográfica nacional. Tais características sociodemográficas e o contexto familiar podem influenciar diretamente o nível de conhecimento sobre o HPV e as práticas de prevenção. A amostra foi majoritariamente estudantes de Enfermagem em períodos avançados, o que sugere maior exposição a informações de saúde. Destacou-se a participação de bolsistas e estudantes beneficiários de políticas públicas, o que ressalta o potencial canal de acesso crucial para a promoção da saúde em uma população mais vulnerável. A diversidade da amostra, apesar do predomínio de um curso, contribuiu para um panorama relevante sobre o HPV.</w:t>
      </w:r>
      <w:r>
        <w:rPr>
          <w:rFonts w:ascii="Cambria" w:eastAsia="Cambria" w:hAnsi="Cambria" w:cs="Cambria"/>
        </w:rPr>
        <w:t xml:space="preserve"> </w:t>
      </w:r>
    </w:p>
    <w:p w14:paraId="16091AE5" w14:textId="77777777" w:rsidR="00625AF2" w:rsidRDefault="00180F62">
      <w:pPr>
        <w:ind w:left="1131" w:right="0"/>
      </w:pPr>
      <w:r>
        <w:t>Verificou-se que a maior parte dos universitários afirmam ter conhecimento, mas ainda assim apontam terem dúvidas ou desconhecimento, o que sugere lacunas no processo educativo. Visto que a grande maioria afirmou ter vida sexual ativa, é fundamental reforçar ações educativas direcionadas para o público jovem, considerando que ter início da atividade sexual na adolescência sem informação adequada pode elevar o risco de exposição ao vírus.</w:t>
      </w:r>
      <w:r>
        <w:rPr>
          <w:rFonts w:ascii="Cambria" w:eastAsia="Cambria" w:hAnsi="Cambria" w:cs="Cambria"/>
        </w:rPr>
        <w:t xml:space="preserve"> </w:t>
      </w:r>
    </w:p>
    <w:p w14:paraId="7659807B" w14:textId="77777777" w:rsidR="00625AF2" w:rsidRDefault="00180F62">
      <w:pPr>
        <w:spacing w:after="124" w:line="259" w:lineRule="auto"/>
        <w:ind w:left="1136" w:right="0" w:firstLine="0"/>
      </w:pPr>
      <w:r>
        <w:rPr>
          <w:rFonts w:ascii="Calibri" w:eastAsia="Calibri" w:hAnsi="Calibri" w:cs="Calibri"/>
          <w:b/>
          <w:i/>
        </w:rPr>
        <w:t xml:space="preserve"> </w:t>
      </w:r>
    </w:p>
    <w:p w14:paraId="62A2DED9" w14:textId="77777777" w:rsidR="00625AF2" w:rsidRDefault="00180F62">
      <w:pPr>
        <w:spacing w:after="0" w:line="259" w:lineRule="auto"/>
        <w:ind w:left="1136" w:right="0" w:firstLine="0"/>
      </w:pPr>
      <w:r>
        <w:rPr>
          <w:rFonts w:ascii="Calibri" w:eastAsia="Calibri" w:hAnsi="Calibri" w:cs="Calibri"/>
        </w:rPr>
        <w:t xml:space="preserve"> </w:t>
      </w:r>
    </w:p>
    <w:p w14:paraId="1D4C27E4" w14:textId="77777777" w:rsidR="00625AF2" w:rsidRDefault="00180F62">
      <w:pPr>
        <w:pStyle w:val="Ttulo1"/>
        <w:ind w:left="1176"/>
      </w:pPr>
      <w:r>
        <w:t xml:space="preserve">Conclusões  </w:t>
      </w:r>
    </w:p>
    <w:p w14:paraId="0DA30F60" w14:textId="77777777" w:rsidR="00625AF2" w:rsidRDefault="00180F62">
      <w:pPr>
        <w:ind w:left="1131" w:right="0"/>
      </w:pPr>
      <w:r>
        <w:t xml:space="preserve">A pesquisa mostrou que o perfil sociodemográfico dos universitários é semelhante ao da população em geral. Fatores como a convivência familiar e a fase da vida influenciam o nível de conhecimento sobre o HPV. Assim, o estudo reforça a necessidade de estratégias educativas no ambiente acadêmico para reduzir a vulnerabilidade desse grupo e os impactos da infecção. </w:t>
      </w:r>
      <w:r>
        <w:rPr>
          <w:rFonts w:ascii="Cambria" w:eastAsia="Cambria" w:hAnsi="Cambria" w:cs="Cambria"/>
        </w:rPr>
        <w:t xml:space="preserve"> </w:t>
      </w:r>
      <w:r>
        <w:t>O estudo evidencia que o perfil dos estudantes e a significativa presença de bolsistas, faz da universidade um ambiente ideal para campanhas de saúde. A continuidade de ações educativas e de vacinação no meio acadêmico é fundamental para ampliar a conscientização sobre o HPV.</w:t>
      </w:r>
      <w:r>
        <w:rPr>
          <w:rFonts w:ascii="Cambria" w:eastAsia="Cambria" w:hAnsi="Cambria" w:cs="Cambria"/>
        </w:rPr>
        <w:t xml:space="preserve"> </w:t>
      </w:r>
      <w:r>
        <w:t>Conclui-se que embora ainda poucos jovens adultos conheçam sobre HPV, é evidente a presença de dúvidas entre os jovens adultos quanto às formas de transmissão, prevenção e tratamento. Essa falta de conhecimento contribui para o aumento da vulnerabilidade e exposição a práticas de risco, refletindo a necessidade de maior acesso à informação e orientação. Desta forma, os resultados deste estudo têm em foco em evidenciar a importância do fortalecimento da educação sexual nas universidades e demais espaços de formação, com foco na conscientização e na adoção de medidas preventivas, como o uso de preservativos e a vacinação. Promover o conhecimento sobre o HPV é, portanto, uma estratégia essencial para a redução dos índices de infecção e para a promoção da saúde integral dos jovens.</w:t>
      </w:r>
      <w:r>
        <w:rPr>
          <w:rFonts w:ascii="Cambria" w:eastAsia="Cambria" w:hAnsi="Cambria" w:cs="Cambria"/>
        </w:rPr>
        <w:t xml:space="preserve"> </w:t>
      </w:r>
    </w:p>
    <w:p w14:paraId="43919C88" w14:textId="77777777" w:rsidR="00625AF2" w:rsidRDefault="00180F62">
      <w:pPr>
        <w:spacing w:after="0" w:line="259" w:lineRule="auto"/>
        <w:ind w:left="1136" w:right="0" w:firstLine="0"/>
      </w:pPr>
      <w:r>
        <w:rPr>
          <w:rFonts w:ascii="Calibri" w:eastAsia="Calibri" w:hAnsi="Calibri" w:cs="Calibri"/>
        </w:rPr>
        <w:t xml:space="preserve"> </w:t>
      </w:r>
    </w:p>
    <w:p w14:paraId="442EF243" w14:textId="77777777" w:rsidR="00625AF2" w:rsidRDefault="00180F62">
      <w:pPr>
        <w:pStyle w:val="Ttulo1"/>
        <w:ind w:left="1176"/>
      </w:pPr>
      <w:r>
        <w:t xml:space="preserve">Referências  </w:t>
      </w:r>
    </w:p>
    <w:p w14:paraId="5810BA8C" w14:textId="77777777" w:rsidR="00625AF2" w:rsidRDefault="00180F62">
      <w:pPr>
        <w:spacing w:line="361" w:lineRule="auto"/>
        <w:ind w:left="1176" w:right="0" w:firstLine="0"/>
      </w:pPr>
      <w:r>
        <w:rPr>
          <w:rFonts w:cs="Arial"/>
        </w:rPr>
        <w:t>ALBUQUERQUE, Elisabeth Maciel de. Avaliação da técnica de amostragem “Respondent- driven Sampling” na estimação de prevalências de Doenças Transmissíveis em populações organizadas em redes complexas. Escola Nacional de Saúde Pública Sérgio Arouca – ENSP; Rio de Janeiro: Ministério da Saúde – Fiocruz, 2009. Dissertação de Mestrado, 99p.</w:t>
      </w:r>
      <w:r>
        <w:t xml:space="preserve"> </w:t>
      </w:r>
    </w:p>
    <w:p w14:paraId="14D16E45" w14:textId="77777777" w:rsidR="00625AF2" w:rsidRDefault="00180F62">
      <w:pPr>
        <w:spacing w:after="7" w:line="359" w:lineRule="auto"/>
        <w:ind w:left="1191" w:right="8"/>
        <w:jc w:val="both"/>
      </w:pPr>
      <w:r>
        <w:rPr>
          <w:rFonts w:cs="Arial"/>
        </w:rPr>
        <w:t>ARCOVERDE, M. A. M.; WALL, M. L. Assistência “prestada ao ser” masculino portado do HPV: contribuições de enfermagem. DST – Jornal Brasileiro de Doenças Sexualmente Transmissíveis, Rio de Janeiro, v. 17, n. 2, p. 133- 137, 2005. AYRES, J. R</w:t>
      </w:r>
      <w:r>
        <w:t xml:space="preserve"> </w:t>
      </w:r>
    </w:p>
    <w:p w14:paraId="418005A3" w14:textId="77777777" w:rsidR="00625AF2" w:rsidRDefault="00180F62">
      <w:pPr>
        <w:spacing w:line="361" w:lineRule="auto"/>
        <w:ind w:left="1176" w:right="0" w:firstLine="0"/>
      </w:pPr>
      <w:r>
        <w:rPr>
          <w:rFonts w:cs="Arial"/>
        </w:rPr>
        <w:t>Bardin L. Análise de conteúdo. Edição revista e ampliada. São Paulo: Edições 70 Brasil; [1977] 2016.</w:t>
      </w:r>
      <w:r>
        <w:t xml:space="preserve"> </w:t>
      </w:r>
    </w:p>
    <w:p w14:paraId="67651D5F" w14:textId="77777777" w:rsidR="00625AF2" w:rsidRDefault="00180F62">
      <w:pPr>
        <w:spacing w:line="361" w:lineRule="auto"/>
        <w:ind w:left="1176" w:right="0" w:firstLine="0"/>
      </w:pPr>
      <w:r>
        <w:rPr>
          <w:rFonts w:cs="Arial"/>
        </w:rPr>
        <w:t>BRUNI L, DIAZ M, BARRIONUEVO-ROSAS L, HERRERO R, BRAY F, BOSCH FX, et al. Global estimates of human papillomavirus vaccination coverage by region and income level: a pooled analysis. Lancet Glob Health. 2016; 4:e453–463. https://doi.org/10.1016/S2214-109X(16)300997 PMID: 27340003 3.</w:t>
      </w:r>
      <w:r>
        <w:t xml:space="preserve"> </w:t>
      </w:r>
    </w:p>
    <w:p w14:paraId="2D24B994" w14:textId="77777777" w:rsidR="00625AF2" w:rsidRDefault="00180F62">
      <w:pPr>
        <w:spacing w:line="361" w:lineRule="auto"/>
        <w:ind w:left="1176" w:right="0" w:firstLine="0"/>
      </w:pPr>
      <w:r>
        <w:rPr>
          <w:rFonts w:cs="Arial"/>
        </w:rPr>
        <w:t xml:space="preserve">COSTA, GOLDENBERG. Papilomavírus Humano (HPV) entre Jovens: um sinal de alerta. Saúde Soc. São Paulo, v.22, n.1, p.249-261, 2013. Disponível em: </w:t>
      </w:r>
    </w:p>
    <w:p w14:paraId="74F0241A" w14:textId="77777777" w:rsidR="00625AF2" w:rsidRDefault="00180F62">
      <w:pPr>
        <w:spacing w:line="361" w:lineRule="auto"/>
        <w:ind w:left="1176" w:right="0" w:firstLine="0"/>
      </w:pPr>
      <w:r>
        <w:rPr>
          <w:rFonts w:cs="Arial"/>
        </w:rPr>
        <w:t>https://www.scielo.br/j/sausoc/a/JDV4DqKt5vjxxYDHSyYmRcJ/?format=pdf. Acesso em: 13 jul 2022.</w:t>
      </w:r>
      <w:r>
        <w:t xml:space="preserve"> </w:t>
      </w:r>
    </w:p>
    <w:p w14:paraId="3BA5E245" w14:textId="77777777" w:rsidR="00625AF2" w:rsidRDefault="00180F62">
      <w:pPr>
        <w:spacing w:after="112" w:line="259" w:lineRule="auto"/>
        <w:ind w:left="1176" w:right="0" w:firstLine="0"/>
      </w:pPr>
      <w:r>
        <w:rPr>
          <w:rFonts w:cs="Arial"/>
        </w:rPr>
        <w:t xml:space="preserve">DUBE E, GAGNON D, MACDONALD NE. Strategies intended to address vaccine hesitancy: </w:t>
      </w:r>
    </w:p>
    <w:p w14:paraId="65E64F66" w14:textId="77777777" w:rsidR="00625AF2" w:rsidRDefault="00180F62">
      <w:pPr>
        <w:spacing w:after="117" w:line="259" w:lineRule="auto"/>
        <w:ind w:left="1176" w:right="0" w:firstLine="0"/>
      </w:pPr>
      <w:r>
        <w:rPr>
          <w:rFonts w:cs="Arial"/>
        </w:rPr>
        <w:t xml:space="preserve">Review of published reviews. Vaccine. 2015; 33:4191–203. </w:t>
      </w:r>
    </w:p>
    <w:p w14:paraId="4F80F031" w14:textId="77777777" w:rsidR="00625AF2" w:rsidRDefault="00180F62">
      <w:pPr>
        <w:spacing w:after="117" w:line="259" w:lineRule="auto"/>
        <w:ind w:left="1176" w:right="0" w:firstLine="0"/>
      </w:pPr>
      <w:r>
        <w:rPr>
          <w:rFonts w:cs="Arial"/>
        </w:rPr>
        <w:t>https://doi.org/10.1016/j.vaccine.2015.04.041 PMID: 25896385.</w:t>
      </w:r>
      <w:r>
        <w:t xml:space="preserve"> </w:t>
      </w:r>
    </w:p>
    <w:p w14:paraId="208B7679" w14:textId="77777777" w:rsidR="00625AF2" w:rsidRDefault="00180F62">
      <w:pPr>
        <w:spacing w:line="361" w:lineRule="auto"/>
        <w:ind w:left="1176" w:right="0" w:firstLine="0"/>
      </w:pPr>
      <w:r>
        <w:rPr>
          <w:rFonts w:cs="Arial"/>
        </w:rPr>
        <w:t>GIULIANO A, HARRIS R. Incidence, prevalence, and clearance of typespecific human papillomavirus infections: the young women’s health study. J Infect Dis 2002; 186:462–</w:t>
      </w:r>
      <w:r>
        <w:t xml:space="preserve"> </w:t>
      </w:r>
    </w:p>
    <w:p w14:paraId="214CBE4D" w14:textId="77777777" w:rsidR="00625AF2" w:rsidRDefault="00180F62">
      <w:pPr>
        <w:spacing w:after="112" w:line="259" w:lineRule="auto"/>
        <w:ind w:left="1176" w:right="0" w:firstLine="0"/>
      </w:pPr>
      <w:r>
        <w:rPr>
          <w:rFonts w:cs="Arial"/>
        </w:rPr>
        <w:t xml:space="preserve">GOLDSTEIN S, MACDONALD NE, GUIRGUIS S. Health communication and vaccine hesitancy. </w:t>
      </w:r>
    </w:p>
    <w:p w14:paraId="182D483F" w14:textId="77777777" w:rsidR="00625AF2" w:rsidRDefault="00180F62">
      <w:pPr>
        <w:spacing w:line="361" w:lineRule="auto"/>
        <w:ind w:left="1176" w:right="0" w:firstLine="0"/>
      </w:pPr>
      <w:r>
        <w:rPr>
          <w:rFonts w:cs="Arial"/>
        </w:rPr>
        <w:t>Vaccine. 2015; 33:4212–4214. https://doi.org/10.1016/j.vaccine.2015.04.042 PMID: 25896382 4.</w:t>
      </w:r>
      <w:r>
        <w:t xml:space="preserve"> </w:t>
      </w:r>
      <w:r>
        <w:rPr>
          <w:rFonts w:cs="Arial"/>
        </w:rPr>
        <w:t>GUERRA, V. M.; GOUVEIA, V. V. Liberalismo / Conservadorismo sexual: proposta de uma medida de multi-fatorial. Psicologia: Reflexão e Crítica, Porto Alegre, v. 20, n. 1, p. 43-53, 2007.</w:t>
      </w:r>
      <w:r>
        <w:t xml:space="preserve"> </w:t>
      </w:r>
      <w:r>
        <w:rPr>
          <w:rFonts w:cs="Arial"/>
        </w:rPr>
        <w:t>HAUSEN HZ, VILLIERS EM. Human papillomaviruses. Annu Rev Microbiol. 1994 Oct; 48:427-</w:t>
      </w:r>
    </w:p>
    <w:p w14:paraId="1C395C2D" w14:textId="77777777" w:rsidR="00625AF2" w:rsidRDefault="00180F62">
      <w:pPr>
        <w:spacing w:after="117" w:line="259" w:lineRule="auto"/>
        <w:ind w:left="1176" w:right="0" w:firstLine="0"/>
      </w:pPr>
      <w:r>
        <w:rPr>
          <w:rFonts w:cs="Arial"/>
        </w:rPr>
        <w:t>47.</w:t>
      </w:r>
      <w:r>
        <w:t xml:space="preserve"> </w:t>
      </w:r>
    </w:p>
    <w:p w14:paraId="5F91E22B" w14:textId="77777777" w:rsidR="00625AF2" w:rsidRDefault="00180F62">
      <w:pPr>
        <w:spacing w:after="117" w:line="259" w:lineRule="auto"/>
        <w:ind w:left="1176" w:right="0" w:firstLine="0"/>
      </w:pPr>
      <w:r>
        <w:rPr>
          <w:rFonts w:cs="Arial"/>
        </w:rPr>
        <w:t xml:space="preserve">SMITH JS, LINDSAY L, HOOTS B, KEYS J, FRANCESCHI S, WINER R, et al. Human </w:t>
      </w:r>
    </w:p>
    <w:p w14:paraId="7A9E71D2" w14:textId="77777777" w:rsidR="00625AF2" w:rsidRDefault="00180F62">
      <w:pPr>
        <w:spacing w:line="361" w:lineRule="auto"/>
        <w:ind w:left="1176" w:right="0" w:firstLine="0"/>
      </w:pPr>
      <w:r>
        <w:rPr>
          <w:rFonts w:cs="Arial"/>
        </w:rPr>
        <w:t>papillomavirus type distribution in invasive cervical cancer and high-grade cervical lesions: a meta-analysis update. Int J Cancer. 2007 Aug;121(3):621-32.</w:t>
      </w:r>
      <w:r>
        <w:t xml:space="preserve"> </w:t>
      </w:r>
    </w:p>
    <w:p w14:paraId="2B817C34" w14:textId="77777777" w:rsidR="00625AF2" w:rsidRDefault="00180F62">
      <w:pPr>
        <w:spacing w:line="361" w:lineRule="auto"/>
        <w:ind w:left="1176" w:right="0" w:firstLine="0"/>
      </w:pPr>
      <w:r>
        <w:rPr>
          <w:rFonts w:cs="Arial"/>
        </w:rPr>
        <w:t>WEAVER B, TU W, SHEW M, et al. Acquisition of first human papillomavirus infection related to first vaginal intercourse and other sexually transmitted infections in adolescent women. J Adolesc Health 2011; 48:S11–2.</w:t>
      </w:r>
      <w:r>
        <w:t xml:space="preserve"> </w:t>
      </w:r>
    </w:p>
    <w:p w14:paraId="2186948F" w14:textId="77777777" w:rsidR="00625AF2" w:rsidRDefault="00180F62">
      <w:pPr>
        <w:spacing w:line="361" w:lineRule="auto"/>
        <w:ind w:left="1176" w:right="0" w:firstLine="0"/>
      </w:pPr>
      <w:r>
        <w:rPr>
          <w:rFonts w:cs="Arial"/>
        </w:rPr>
        <w:t>WINER R, LEE S, HUGHES J. Genital human papillomavirus infection: incidence and risk factors in a cohort of female university students. Am J Epidemiol 2003; 157:218–2.</w:t>
      </w:r>
      <w:r>
        <w:t xml:space="preserve"> </w:t>
      </w:r>
    </w:p>
    <w:p w14:paraId="42FDF83B" w14:textId="77777777" w:rsidR="00625AF2" w:rsidRDefault="00180F62">
      <w:pPr>
        <w:spacing w:after="42" w:line="259" w:lineRule="auto"/>
        <w:ind w:left="1181" w:right="0" w:firstLine="0"/>
      </w:pPr>
      <w:r>
        <w:t xml:space="preserve"> </w:t>
      </w:r>
    </w:p>
    <w:p w14:paraId="2428D7D0" w14:textId="77777777" w:rsidR="00625AF2" w:rsidRDefault="00180F62">
      <w:pPr>
        <w:spacing w:after="22" w:line="259" w:lineRule="auto"/>
        <w:ind w:left="1181" w:right="0" w:firstLine="0"/>
      </w:pPr>
      <w:r>
        <w:rPr>
          <w:sz w:val="26"/>
        </w:rPr>
        <w:t xml:space="preserve"> </w:t>
      </w:r>
    </w:p>
    <w:p w14:paraId="4DEBFB03" w14:textId="77777777" w:rsidR="00625AF2" w:rsidRDefault="00180F62">
      <w:pPr>
        <w:spacing w:after="27" w:line="259" w:lineRule="auto"/>
        <w:ind w:left="1181" w:right="0" w:firstLine="0"/>
      </w:pPr>
      <w:r>
        <w:rPr>
          <w:sz w:val="26"/>
        </w:rPr>
        <w:t xml:space="preserve"> </w:t>
      </w:r>
    </w:p>
    <w:p w14:paraId="7109819F" w14:textId="77777777" w:rsidR="00625AF2" w:rsidRDefault="00180F62">
      <w:pPr>
        <w:spacing w:after="22" w:line="259" w:lineRule="auto"/>
        <w:ind w:left="1181" w:right="0" w:firstLine="0"/>
      </w:pPr>
      <w:r>
        <w:rPr>
          <w:sz w:val="26"/>
        </w:rPr>
        <w:t xml:space="preserve"> </w:t>
      </w:r>
    </w:p>
    <w:p w14:paraId="3C0066A9" w14:textId="77777777" w:rsidR="00625AF2" w:rsidRDefault="00180F62">
      <w:pPr>
        <w:spacing w:after="0" w:line="259" w:lineRule="auto"/>
        <w:ind w:left="6945" w:right="0" w:firstLine="0"/>
        <w:jc w:val="center"/>
      </w:pPr>
      <w:r>
        <w:rPr>
          <w:rFonts w:ascii="Calibri" w:eastAsia="Calibri" w:hAnsi="Calibri" w:cs="Calibri"/>
          <w:sz w:val="20"/>
        </w:rPr>
        <w:t xml:space="preserve"> </w:t>
      </w:r>
      <w:r>
        <w:rPr>
          <w:rFonts w:ascii="Calibri" w:eastAsia="Calibri" w:hAnsi="Calibri" w:cs="Calibri"/>
        </w:rPr>
        <w:t xml:space="preserve"> </w:t>
      </w:r>
    </w:p>
    <w:sectPr w:rsidR="00625AF2">
      <w:headerReference w:type="even" r:id="rId11"/>
      <w:headerReference w:type="default" r:id="rId12"/>
      <w:footerReference w:type="even" r:id="rId13"/>
      <w:footerReference w:type="default" r:id="rId14"/>
      <w:headerReference w:type="first" r:id="rId15"/>
      <w:footerReference w:type="first" r:id="rId16"/>
      <w:pgSz w:w="11910" w:h="16840"/>
      <w:pgMar w:top="1821" w:right="418" w:bottom="2730" w:left="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14D4D" w14:textId="77777777" w:rsidR="00180F62" w:rsidRDefault="00180F62">
      <w:pPr>
        <w:spacing w:after="0" w:line="240" w:lineRule="auto"/>
      </w:pPr>
      <w:r>
        <w:separator/>
      </w:r>
    </w:p>
  </w:endnote>
  <w:endnote w:type="continuationSeparator" w:id="0">
    <w:p w14:paraId="2AA42F2F" w14:textId="77777777" w:rsidR="00180F62" w:rsidRDefault="00180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5E801" w14:textId="77777777" w:rsidR="00625AF2" w:rsidRDefault="00180F62">
    <w:pPr>
      <w:spacing w:after="0" w:line="259" w:lineRule="auto"/>
      <w:ind w:left="1136" w:right="-406" w:firstLine="0"/>
    </w:pPr>
    <w:r>
      <w:rPr>
        <w:noProof/>
      </w:rPr>
      <w:drawing>
        <wp:anchor distT="0" distB="0" distL="114300" distR="114300" simplePos="0" relativeHeight="251660288" behindDoc="0" locked="0" layoutInCell="1" allowOverlap="0" wp14:anchorId="36EAB162" wp14:editId="64A3C295">
          <wp:simplePos x="0" y="0"/>
          <wp:positionH relativeFrom="page">
            <wp:posOffset>6182995</wp:posOffset>
          </wp:positionH>
          <wp:positionV relativeFrom="page">
            <wp:posOffset>9346564</wp:posOffset>
          </wp:positionV>
          <wp:extent cx="1372235" cy="1328420"/>
          <wp:effectExtent l="0" t="0" r="0" b="0"/>
          <wp:wrapSquare wrapText="bothSides"/>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1"/>
                  <a:stretch>
                    <a:fillRect/>
                  </a:stretch>
                </pic:blipFill>
                <pic:spPr>
                  <a:xfrm>
                    <a:off x="0" y="0"/>
                    <a:ext cx="1372235" cy="1328420"/>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rPr>
      <w:t xml:space="preserve"> </w:t>
    </w:r>
    <w:r>
      <w:rPr>
        <w:rFonts w:ascii="Calibri" w:eastAsia="Calibri" w:hAnsi="Calibri" w:cs="Calibr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685F" w14:textId="77777777" w:rsidR="00625AF2" w:rsidRDefault="00180F62">
    <w:pPr>
      <w:spacing w:after="0" w:line="259" w:lineRule="auto"/>
      <w:ind w:left="1136" w:right="-406" w:firstLine="0"/>
    </w:pPr>
    <w:r>
      <w:rPr>
        <w:noProof/>
      </w:rPr>
      <w:drawing>
        <wp:anchor distT="0" distB="0" distL="114300" distR="114300" simplePos="0" relativeHeight="251661312" behindDoc="0" locked="0" layoutInCell="1" allowOverlap="0" wp14:anchorId="796CC0FE" wp14:editId="5C34BB92">
          <wp:simplePos x="0" y="0"/>
          <wp:positionH relativeFrom="page">
            <wp:posOffset>6182995</wp:posOffset>
          </wp:positionH>
          <wp:positionV relativeFrom="page">
            <wp:posOffset>9346564</wp:posOffset>
          </wp:positionV>
          <wp:extent cx="1372235" cy="1328420"/>
          <wp:effectExtent l="0" t="0" r="0" b="0"/>
          <wp:wrapSquare wrapText="bothSides"/>
          <wp:docPr id="109257850"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1"/>
                  <a:stretch>
                    <a:fillRect/>
                  </a:stretch>
                </pic:blipFill>
                <pic:spPr>
                  <a:xfrm>
                    <a:off x="0" y="0"/>
                    <a:ext cx="1372235" cy="1328420"/>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rPr>
      <w:t xml:space="preserve"> </w:t>
    </w:r>
    <w:r>
      <w:rPr>
        <w:rFonts w:ascii="Calibri" w:eastAsia="Calibri" w:hAnsi="Calibri" w:cs="Calibri"/>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F6BF" w14:textId="77777777" w:rsidR="00625AF2" w:rsidRDefault="00625AF2">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FDC04" w14:textId="77777777" w:rsidR="00180F62" w:rsidRDefault="00180F62">
      <w:pPr>
        <w:spacing w:after="0" w:line="240" w:lineRule="auto"/>
      </w:pPr>
      <w:r>
        <w:separator/>
      </w:r>
    </w:p>
  </w:footnote>
  <w:footnote w:type="continuationSeparator" w:id="0">
    <w:p w14:paraId="0390AADE" w14:textId="77777777" w:rsidR="00180F62" w:rsidRDefault="00180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62256" w14:textId="77777777" w:rsidR="00625AF2" w:rsidRDefault="00180F62">
    <w:pPr>
      <w:spacing w:after="0" w:line="259" w:lineRule="auto"/>
      <w:ind w:left="1136" w:right="0" w:firstLine="0"/>
    </w:pPr>
    <w:r>
      <w:rPr>
        <w:noProof/>
      </w:rPr>
      <w:drawing>
        <wp:anchor distT="0" distB="0" distL="114300" distR="114300" simplePos="0" relativeHeight="251658240" behindDoc="0" locked="0" layoutInCell="1" allowOverlap="0" wp14:anchorId="58F89CEC" wp14:editId="54A8FF98">
          <wp:simplePos x="0" y="0"/>
          <wp:positionH relativeFrom="page">
            <wp:posOffset>5603875</wp:posOffset>
          </wp:positionH>
          <wp:positionV relativeFrom="page">
            <wp:posOffset>449008</wp:posOffset>
          </wp:positionV>
          <wp:extent cx="868045" cy="647002"/>
          <wp:effectExtent l="0" t="0" r="0" b="0"/>
          <wp:wrapSquare wrapText="bothSides"/>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1"/>
                  <a:stretch>
                    <a:fillRect/>
                  </a:stretch>
                </pic:blipFill>
                <pic:spPr>
                  <a:xfrm>
                    <a:off x="0" y="0"/>
                    <a:ext cx="868045" cy="647002"/>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rPr>
      <w:t xml:space="preserve"> </w:t>
    </w: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D9BDF" w14:textId="77777777" w:rsidR="00625AF2" w:rsidRDefault="00180F62">
    <w:pPr>
      <w:spacing w:after="0" w:line="259" w:lineRule="auto"/>
      <w:ind w:left="1136" w:right="0" w:firstLine="0"/>
    </w:pPr>
    <w:r>
      <w:rPr>
        <w:noProof/>
      </w:rPr>
      <w:drawing>
        <wp:anchor distT="0" distB="0" distL="114300" distR="114300" simplePos="0" relativeHeight="251659264" behindDoc="0" locked="0" layoutInCell="1" allowOverlap="0" wp14:anchorId="72625FB4" wp14:editId="42FE7566">
          <wp:simplePos x="0" y="0"/>
          <wp:positionH relativeFrom="page">
            <wp:posOffset>5603875</wp:posOffset>
          </wp:positionH>
          <wp:positionV relativeFrom="page">
            <wp:posOffset>449008</wp:posOffset>
          </wp:positionV>
          <wp:extent cx="868045" cy="647002"/>
          <wp:effectExtent l="0" t="0" r="0" b="0"/>
          <wp:wrapSquare wrapText="bothSides"/>
          <wp:docPr id="955832459"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1"/>
                  <a:stretch>
                    <a:fillRect/>
                  </a:stretch>
                </pic:blipFill>
                <pic:spPr>
                  <a:xfrm>
                    <a:off x="0" y="0"/>
                    <a:ext cx="868045" cy="647002"/>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rPr>
      <w:t xml:space="preserve"> </w:t>
    </w:r>
    <w:r>
      <w:rPr>
        <w:rFonts w:ascii="Calibri" w:eastAsia="Calibri" w:hAnsi="Calibri" w:cs="Calibr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990D3" w14:textId="77777777" w:rsidR="00625AF2" w:rsidRDefault="00625AF2">
    <w:pPr>
      <w:spacing w:after="160" w:line="259" w:lineRule="auto"/>
      <w:ind w:left="0" w:righ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5"/>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AF2"/>
    <w:rsid w:val="00180F62"/>
    <w:rsid w:val="00226DD3"/>
    <w:rsid w:val="00625AF2"/>
    <w:rsid w:val="00A7768E"/>
    <w:rsid w:val="00AB79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32D1C812"/>
  <w15:docId w15:val="{54999E66-2FF8-A54F-8DF2-9F2EED37A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0" w:lineRule="auto"/>
      <w:ind w:left="1057" w:right="613" w:hanging="10"/>
    </w:pPr>
    <w:rPr>
      <w:rFonts w:ascii="Arial" w:eastAsia="Arial" w:hAnsi="Arial" w:cs="Times New Roman"/>
      <w:color w:val="000000"/>
      <w:lang w:val="en" w:eastAsia="en"/>
    </w:rPr>
  </w:style>
  <w:style w:type="paragraph" w:styleId="Ttulo1">
    <w:name w:val="heading 1"/>
    <w:next w:val="Normal"/>
    <w:link w:val="Ttulo1Char"/>
    <w:uiPriority w:val="9"/>
    <w:qFormat/>
    <w:pPr>
      <w:keepNext/>
      <w:keepLines/>
      <w:spacing w:after="121" w:line="259" w:lineRule="auto"/>
      <w:ind w:left="426" w:hanging="10"/>
      <w:outlineLvl w:val="0"/>
    </w:pPr>
    <w:rPr>
      <w:rFonts w:ascii="Calibri" w:eastAsia="Calibri" w:hAnsi="Calibri" w:cs="Calibri"/>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10.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1890</Words>
  <Characters>10210</Characters>
  <Application>Microsoft Office Word</Application>
  <DocSecurity>0</DocSecurity>
  <Lines>85</Lines>
  <Paragraphs>24</Paragraphs>
  <ScaleCrop>false</ScaleCrop>
  <Company/>
  <LinksUpToDate>false</LinksUpToDate>
  <CharactersWithSpaces>12076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Luiza Papini</dc:creator>
  <cp:keywords/>
  <cp:lastModifiedBy>Izabelly Gabriel Rufino dos Santos</cp:lastModifiedBy>
  <cp:revision>2</cp:revision>
  <dcterms:created xsi:type="dcterms:W3CDTF">2025-11-17T14:39:00Z</dcterms:created>
  <dcterms:modified xsi:type="dcterms:W3CDTF">2025-11-17T14:39:00Z</dcterms:modified>
</cp:coreProperties>
</file>