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187A" w14:textId="1C092729" w:rsidR="005E25EB" w:rsidRPr="00613037" w:rsidRDefault="005E25EB" w:rsidP="005E25EB">
      <w:pPr>
        <w:pStyle w:val="Ttulo1"/>
        <w:spacing w:before="82"/>
        <w:ind w:right="4" w:hanging="15"/>
        <w:jc w:val="center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061303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REVISÃO SISTEMÁTICA SOBRE OS “SÍTIOS SAGRADOS” DOS TERREIROS DE CANDOMBLÉ E OS CONFLITOS SOCIOESPACIAIS NOS TERRITÓRIOS URBANOS DE SALVADOR</w:t>
      </w:r>
    </w:p>
    <w:p w14:paraId="4E18ACAD" w14:textId="77777777" w:rsidR="005E25EB" w:rsidRPr="00613037" w:rsidRDefault="005E25EB" w:rsidP="005E25EB">
      <w:pPr>
        <w:pStyle w:val="Ttulo1"/>
        <w:spacing w:before="82"/>
        <w:ind w:right="4" w:hanging="15"/>
        <w:jc w:val="center"/>
        <w:rPr>
          <w:rFonts w:ascii="Arial" w:hAnsi="Arial" w:cs="Arial"/>
          <w:b/>
          <w:bCs/>
          <w:i/>
          <w:iCs/>
          <w:color w:val="auto"/>
          <w:sz w:val="24"/>
          <w:szCs w:val="24"/>
          <w:lang w:val="en-US"/>
        </w:rPr>
      </w:pPr>
      <w:r w:rsidRPr="00613037">
        <w:rPr>
          <w:rFonts w:ascii="Arial" w:hAnsi="Arial" w:cs="Arial"/>
          <w:b/>
          <w:bCs/>
          <w:i/>
          <w:iCs/>
          <w:color w:val="auto"/>
          <w:sz w:val="24"/>
          <w:szCs w:val="24"/>
          <w:lang w:val="en-US"/>
        </w:rPr>
        <w:t>SYSTEMATIC REVIEW OF THE “SACRED SITES” OF CANDOMBLÉ TERREIROS AND SOCIOSPATIAL CONFLICTS IN THE URBAN TERRITORIES OF SALVADOR</w:t>
      </w:r>
    </w:p>
    <w:p w14:paraId="4052FBEB" w14:textId="77777777" w:rsidR="007438DB" w:rsidRPr="00613037" w:rsidRDefault="007438DB" w:rsidP="007438DB">
      <w:pPr>
        <w:rPr>
          <w:rFonts w:ascii="Arial" w:hAnsi="Arial" w:cs="Arial"/>
          <w:lang w:val="en-US"/>
        </w:rPr>
      </w:pPr>
    </w:p>
    <w:p w14:paraId="01769965" w14:textId="54E737BF" w:rsidR="005F3B04" w:rsidRPr="005F3B04" w:rsidRDefault="005F3B04" w:rsidP="007438DB">
      <w:pPr>
        <w:pStyle w:val="Ttulo1"/>
        <w:spacing w:before="82"/>
        <w:ind w:right="4" w:hanging="15"/>
        <w:jc w:val="center"/>
        <w:rPr>
          <w:rFonts w:ascii="Arial" w:hAnsi="Arial" w:cs="Arial"/>
          <w:bCs/>
          <w:color w:val="000000" w:themeColor="text1"/>
          <w:sz w:val="24"/>
          <w:szCs w:val="24"/>
          <w:vertAlign w:val="superscript"/>
          <w:lang w:val="pt-PT"/>
        </w:rPr>
      </w:pPr>
      <w:r w:rsidRPr="005F3B04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Marcela Fernandes de Araújo Góes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 xml:space="preserve"> (UNIFACS, marcelafagoes@gmail.com)</w:t>
      </w:r>
      <w:bookmarkStart w:id="0" w:name="_heading=h.7ad1vfdoulmv"/>
      <w:bookmarkEnd w:id="0"/>
      <w:r w:rsidR="007438DB"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 xml:space="preserve"> </w:t>
      </w:r>
      <w:r w:rsidR="007438DB"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;</w:t>
      </w:r>
      <w:r w:rsidR="007438DB"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 xml:space="preserve"> </w:t>
      </w:r>
      <w:r w:rsidRPr="005F3B04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Alessandra da Silva Arduim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 xml:space="preserve"> 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 xml:space="preserve">(UNIFACS, 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alessandra.arduim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@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ulife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.com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.br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)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;</w:t>
      </w:r>
    </w:p>
    <w:p w14:paraId="3DE76ED7" w14:textId="56DEB60C" w:rsidR="005F3B04" w:rsidRPr="00613037" w:rsidRDefault="005F3B04" w:rsidP="007438DB">
      <w:pPr>
        <w:pStyle w:val="Ttulo1"/>
        <w:spacing w:before="82"/>
        <w:ind w:right="4" w:hanging="15"/>
        <w:jc w:val="center"/>
        <w:rPr>
          <w:rFonts w:ascii="Arial" w:hAnsi="Arial" w:cs="Arial"/>
          <w:bCs/>
          <w:color w:val="000000" w:themeColor="text1"/>
          <w:vertAlign w:val="superscript"/>
          <w:lang w:val="pt-PT"/>
        </w:rPr>
      </w:pPr>
      <w:r w:rsidRPr="005F3B04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Kezia de Santana Silva</w:t>
      </w:r>
      <w:r w:rsidRPr="005F3B04">
        <w:rPr>
          <w:rFonts w:ascii="Arial" w:hAnsi="Arial" w:cs="Arial"/>
          <w:bCs/>
          <w:color w:val="000000" w:themeColor="text1"/>
          <w:vertAlign w:val="superscript"/>
          <w:lang w:val="pt-PT"/>
        </w:rPr>
        <w:t xml:space="preserve"> 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 xml:space="preserve"> (UNIFACS, 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keziadesantanasilva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@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gmail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.com)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;</w:t>
      </w:r>
    </w:p>
    <w:p w14:paraId="50E26BA6" w14:textId="3B818AA1" w:rsidR="005F3B04" w:rsidRPr="00613037" w:rsidRDefault="005F3B04" w:rsidP="007438DB">
      <w:pPr>
        <w:pStyle w:val="Ttulo1"/>
        <w:spacing w:before="82"/>
        <w:ind w:right="4" w:hanging="15"/>
        <w:jc w:val="center"/>
        <w:rPr>
          <w:rFonts w:ascii="Arial" w:hAnsi="Arial" w:cs="Arial"/>
          <w:bCs/>
          <w:color w:val="000000" w:themeColor="text1"/>
          <w:vertAlign w:val="superscript"/>
          <w:lang w:val="pt-PT"/>
        </w:rPr>
      </w:pPr>
      <w:r w:rsidRPr="005F3B04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Profa. Dra. Márcia Maria Couto Mello</w:t>
      </w:r>
      <w:r w:rsidRPr="005F3B04">
        <w:rPr>
          <w:rFonts w:ascii="Arial" w:hAnsi="Arial" w:cs="Arial"/>
          <w:bCs/>
          <w:color w:val="000000" w:themeColor="text1"/>
          <w:sz w:val="24"/>
          <w:szCs w:val="24"/>
          <w:vertAlign w:val="superscript"/>
          <w:lang w:val="pt-PT"/>
        </w:rPr>
        <w:t xml:space="preserve"> 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 xml:space="preserve">(UNIFACS, 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mellomarcia@uol.com.br</w:t>
      </w:r>
      <w:r w:rsidRPr="0061303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)</w:t>
      </w:r>
    </w:p>
    <w:p w14:paraId="3EC8F22D" w14:textId="1948A43C" w:rsidR="005F3B04" w:rsidRPr="005F3B04" w:rsidRDefault="005F3B04" w:rsidP="005F3B04">
      <w:pPr>
        <w:pStyle w:val="Ttulo1"/>
        <w:spacing w:before="82"/>
        <w:ind w:right="4" w:hanging="15"/>
        <w:jc w:val="center"/>
        <w:rPr>
          <w:rFonts w:ascii="Arial" w:hAnsi="Arial" w:cs="Arial"/>
          <w:b/>
          <w:sz w:val="24"/>
          <w:szCs w:val="24"/>
        </w:rPr>
      </w:pPr>
    </w:p>
    <w:p w14:paraId="10343B05" w14:textId="77777777" w:rsidR="005F3B04" w:rsidRPr="005F3B04" w:rsidRDefault="005F3B04" w:rsidP="005F3B04">
      <w:pPr>
        <w:rPr>
          <w:rFonts w:ascii="Arial" w:eastAsia="Arial" w:hAnsi="Arial" w:cs="Arial"/>
          <w:lang w:val="pt-PT"/>
        </w:rPr>
      </w:pPr>
    </w:p>
    <w:p w14:paraId="23A55712" w14:textId="77777777" w:rsidR="005E25EB" w:rsidRPr="00613037" w:rsidRDefault="005E25EB" w:rsidP="005E25EB">
      <w:pPr>
        <w:pStyle w:val="Ttulo1"/>
        <w:spacing w:before="82"/>
        <w:ind w:right="4" w:hanging="15"/>
        <w:jc w:val="center"/>
        <w:rPr>
          <w:rFonts w:ascii="Arial" w:hAnsi="Arial" w:cs="Arial"/>
          <w:lang w:val="en-US"/>
        </w:rPr>
      </w:pPr>
    </w:p>
    <w:p w14:paraId="0EC070AC" w14:textId="77777777" w:rsidR="005E25EB" w:rsidRPr="00613037" w:rsidRDefault="005E25EB" w:rsidP="00D77BE3">
      <w:pPr>
        <w:spacing w:before="251" w:line="276" w:lineRule="auto"/>
        <w:rPr>
          <w:rFonts w:ascii="Arial" w:eastAsia="Arial" w:hAnsi="Arial" w:cs="Arial"/>
          <w:b/>
        </w:rPr>
      </w:pPr>
      <w:bookmarkStart w:id="1" w:name="_heading=h.6vr5fvxpua5k" w:colFirst="0" w:colLast="0"/>
      <w:bookmarkEnd w:id="1"/>
      <w:r w:rsidRPr="00613037">
        <w:rPr>
          <w:rFonts w:ascii="Arial" w:eastAsia="Arial" w:hAnsi="Arial" w:cs="Arial"/>
          <w:b/>
        </w:rPr>
        <w:t>RESUMO</w:t>
      </w:r>
    </w:p>
    <w:p w14:paraId="28D9627E" w14:textId="7504889E" w:rsidR="007438DB" w:rsidRPr="00613037" w:rsidRDefault="005C4AC5" w:rsidP="0092114A">
      <w:pPr>
        <w:spacing w:before="3" w:line="360" w:lineRule="auto"/>
        <w:ind w:right="136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t>A pesquisa investiga a relação entre a expansão urbana de Salvador e os conflitos territoriais envolvendo os terreiros de Candomblé tombados entre 1984 e 2024. O estudo evidencia tensões entre urbanização acelerada, especulação imobiliária e preservação patrimonial. Baseado em revisão bibliográfica, análise documental e levantamento histórico-urbano, busca compreender os processos de disputa territorial e avaliar a efetividade das políticas públicas de proteção</w:t>
      </w:r>
      <w:r w:rsidR="007438DB" w:rsidRPr="00613037">
        <w:rPr>
          <w:rFonts w:ascii="Arial" w:hAnsi="Arial" w:cs="Arial"/>
        </w:rPr>
        <w:t xml:space="preserve">. </w:t>
      </w:r>
      <w:r w:rsidR="007438DB" w:rsidRPr="00613037">
        <w:rPr>
          <w:rFonts w:ascii="Arial" w:hAnsi="Arial" w:cs="Arial"/>
        </w:rPr>
        <w:t>A partir dessa pesquisa, é possível concluir que os terreiros de Candomblé desempenham papel essencial na preservação cultural e ambiental de Salvador, mesmo sob forte pressão urbanística. Sua permanência reafirma a importância da diversidade e do direito à cidade. Garantir sua continuidade requer políticas públicas inclusivas e o reconhecimento desses espaços como territórios sagrados.</w:t>
      </w:r>
    </w:p>
    <w:p w14:paraId="50BC72E6" w14:textId="36A44B6C" w:rsidR="005E25EB" w:rsidRPr="00613037" w:rsidRDefault="005E25EB" w:rsidP="00D77BE3">
      <w:pPr>
        <w:spacing w:before="3" w:line="276" w:lineRule="auto"/>
        <w:ind w:right="135"/>
        <w:jc w:val="both"/>
        <w:rPr>
          <w:rFonts w:ascii="Arial" w:hAnsi="Arial" w:cs="Arial"/>
        </w:rPr>
      </w:pPr>
    </w:p>
    <w:p w14:paraId="12E7E993" w14:textId="12B04802" w:rsidR="005E25EB" w:rsidRPr="00613037" w:rsidRDefault="005E25EB" w:rsidP="0092114A">
      <w:pPr>
        <w:spacing w:before="3" w:line="360" w:lineRule="auto"/>
        <w:ind w:right="136"/>
        <w:jc w:val="both"/>
        <w:rPr>
          <w:rFonts w:ascii="Arial" w:hAnsi="Arial" w:cs="Arial"/>
        </w:rPr>
      </w:pPr>
      <w:r w:rsidRPr="00613037">
        <w:rPr>
          <w:rFonts w:ascii="Arial" w:hAnsi="Arial" w:cs="Arial"/>
          <w:b/>
          <w:bCs/>
        </w:rPr>
        <w:t>Palavras-chave:</w:t>
      </w:r>
      <w:r w:rsidRPr="00613037">
        <w:rPr>
          <w:rFonts w:ascii="Arial" w:hAnsi="Arial" w:cs="Arial"/>
        </w:rPr>
        <w:t> Expansão urbana</w:t>
      </w:r>
      <w:r w:rsidR="007438DB" w:rsidRPr="00613037">
        <w:rPr>
          <w:rFonts w:ascii="Arial" w:hAnsi="Arial" w:cs="Arial"/>
        </w:rPr>
        <w:t>,</w:t>
      </w:r>
      <w:r w:rsidRPr="00613037">
        <w:rPr>
          <w:rFonts w:ascii="Arial" w:hAnsi="Arial" w:cs="Arial"/>
        </w:rPr>
        <w:t xml:space="preserve"> Conflitos territoriais</w:t>
      </w:r>
      <w:r w:rsidR="007438DB" w:rsidRPr="00613037">
        <w:rPr>
          <w:rFonts w:ascii="Arial" w:hAnsi="Arial" w:cs="Arial"/>
        </w:rPr>
        <w:t>,</w:t>
      </w:r>
      <w:r w:rsidRPr="00613037">
        <w:rPr>
          <w:rFonts w:ascii="Arial" w:hAnsi="Arial" w:cs="Arial"/>
        </w:rPr>
        <w:t xml:space="preserve"> </w:t>
      </w:r>
      <w:r w:rsidR="007438DB" w:rsidRPr="00613037">
        <w:rPr>
          <w:rFonts w:ascii="Arial" w:hAnsi="Arial" w:cs="Arial"/>
        </w:rPr>
        <w:t xml:space="preserve">Terreiros de </w:t>
      </w:r>
      <w:r w:rsidRPr="00613037">
        <w:rPr>
          <w:rFonts w:ascii="Arial" w:hAnsi="Arial" w:cs="Arial"/>
        </w:rPr>
        <w:t>Candomblé</w:t>
      </w:r>
      <w:r w:rsidR="007438DB" w:rsidRPr="00613037">
        <w:rPr>
          <w:rFonts w:ascii="Arial" w:hAnsi="Arial" w:cs="Arial"/>
        </w:rPr>
        <w:t>.</w:t>
      </w:r>
    </w:p>
    <w:p w14:paraId="65F8656C" w14:textId="6DE25868" w:rsidR="005E25EB" w:rsidRPr="00613037" w:rsidRDefault="00F219E6" w:rsidP="00D77BE3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rPr>
          <w:rFonts w:ascii="Arial" w:eastAsia="Arial" w:hAnsi="Arial" w:cs="Arial"/>
          <w:b/>
          <w:color w:val="980000"/>
        </w:rPr>
      </w:pPr>
      <w:r w:rsidRPr="00613037">
        <w:rPr>
          <w:rFonts w:ascii="Arial" w:hAnsi="Arial" w:cs="Arial"/>
        </w:rPr>
        <w:br/>
      </w:r>
    </w:p>
    <w:p w14:paraId="4B8E9296" w14:textId="77777777" w:rsidR="00BC2EED" w:rsidRPr="00613037" w:rsidRDefault="005E25EB" w:rsidP="0092114A">
      <w:pPr>
        <w:spacing w:line="360" w:lineRule="auto"/>
        <w:rPr>
          <w:rFonts w:ascii="Arial" w:eastAsia="Arial" w:hAnsi="Arial" w:cs="Arial"/>
          <w:b/>
          <w:i/>
          <w:lang w:val="en-US"/>
        </w:rPr>
      </w:pPr>
      <w:r w:rsidRPr="00613037">
        <w:rPr>
          <w:rFonts w:ascii="Arial" w:eastAsia="Arial" w:hAnsi="Arial" w:cs="Arial"/>
          <w:b/>
          <w:i/>
          <w:lang w:val="en-US"/>
        </w:rPr>
        <w:t>ABSTRACT</w:t>
      </w:r>
    </w:p>
    <w:p w14:paraId="61DA1623" w14:textId="77777777" w:rsidR="007438DB" w:rsidRPr="007438DB" w:rsidRDefault="007438DB" w:rsidP="0092114A">
      <w:pPr>
        <w:spacing w:line="360" w:lineRule="auto"/>
        <w:jc w:val="both"/>
        <w:rPr>
          <w:rFonts w:ascii="Arial" w:hAnsi="Arial" w:cs="Arial"/>
          <w:i/>
          <w:iCs/>
          <w:color w:val="404040"/>
        </w:rPr>
      </w:pPr>
      <w:r w:rsidRPr="007438DB">
        <w:rPr>
          <w:rFonts w:ascii="Arial" w:hAnsi="Arial" w:cs="Arial"/>
          <w:i/>
          <w:iCs/>
          <w:color w:val="404040"/>
        </w:rPr>
        <w:t xml:space="preserve">The </w:t>
      </w:r>
      <w:proofErr w:type="spellStart"/>
      <w:r w:rsidRPr="007438DB">
        <w:rPr>
          <w:rFonts w:ascii="Arial" w:hAnsi="Arial" w:cs="Arial"/>
          <w:i/>
          <w:iCs/>
          <w:color w:val="404040"/>
        </w:rPr>
        <w:t>research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investigates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the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relationship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between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the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urban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expansion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of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Salvador </w:t>
      </w:r>
      <w:proofErr w:type="spellStart"/>
      <w:r w:rsidRPr="007438DB">
        <w:rPr>
          <w:rFonts w:ascii="Arial" w:hAnsi="Arial" w:cs="Arial"/>
          <w:i/>
          <w:iCs/>
          <w:color w:val="404040"/>
        </w:rPr>
        <w:t>and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the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territorial </w:t>
      </w:r>
      <w:proofErr w:type="spellStart"/>
      <w:r w:rsidRPr="007438DB">
        <w:rPr>
          <w:rFonts w:ascii="Arial" w:hAnsi="Arial" w:cs="Arial"/>
          <w:i/>
          <w:iCs/>
          <w:color w:val="404040"/>
        </w:rPr>
        <w:t>conflicts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involving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Candomblé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temples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listed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as </w:t>
      </w:r>
      <w:proofErr w:type="spellStart"/>
      <w:r w:rsidRPr="007438DB">
        <w:rPr>
          <w:rFonts w:ascii="Arial" w:hAnsi="Arial" w:cs="Arial"/>
          <w:i/>
          <w:iCs/>
          <w:color w:val="404040"/>
        </w:rPr>
        <w:t>heritage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sites </w:t>
      </w:r>
      <w:proofErr w:type="spellStart"/>
      <w:r w:rsidRPr="007438DB">
        <w:rPr>
          <w:rFonts w:ascii="Arial" w:hAnsi="Arial" w:cs="Arial"/>
          <w:i/>
          <w:iCs/>
          <w:color w:val="404040"/>
        </w:rPr>
        <w:t>between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1984 </w:t>
      </w:r>
      <w:proofErr w:type="spellStart"/>
      <w:r w:rsidRPr="007438DB">
        <w:rPr>
          <w:rFonts w:ascii="Arial" w:hAnsi="Arial" w:cs="Arial"/>
          <w:i/>
          <w:iCs/>
          <w:color w:val="404040"/>
        </w:rPr>
        <w:t>and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2024. The </w:t>
      </w:r>
      <w:proofErr w:type="spellStart"/>
      <w:r w:rsidRPr="007438DB">
        <w:rPr>
          <w:rFonts w:ascii="Arial" w:hAnsi="Arial" w:cs="Arial"/>
          <w:i/>
          <w:iCs/>
          <w:color w:val="404040"/>
        </w:rPr>
        <w:t>study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highlights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tensions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among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accelerated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urbanization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, real </w:t>
      </w:r>
      <w:proofErr w:type="spellStart"/>
      <w:r w:rsidRPr="007438DB">
        <w:rPr>
          <w:rFonts w:ascii="Arial" w:hAnsi="Arial" w:cs="Arial"/>
          <w:i/>
          <w:iCs/>
          <w:color w:val="404040"/>
        </w:rPr>
        <w:t>estate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speculation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, </w:t>
      </w:r>
      <w:proofErr w:type="spellStart"/>
      <w:r w:rsidRPr="007438DB">
        <w:rPr>
          <w:rFonts w:ascii="Arial" w:hAnsi="Arial" w:cs="Arial"/>
          <w:i/>
          <w:iCs/>
          <w:color w:val="404040"/>
        </w:rPr>
        <w:t>and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heritage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preservation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. </w:t>
      </w:r>
      <w:proofErr w:type="spellStart"/>
      <w:r w:rsidRPr="007438DB">
        <w:rPr>
          <w:rFonts w:ascii="Arial" w:hAnsi="Arial" w:cs="Arial"/>
          <w:i/>
          <w:iCs/>
          <w:color w:val="404040"/>
        </w:rPr>
        <w:t>Based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on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a </w:t>
      </w:r>
      <w:proofErr w:type="spellStart"/>
      <w:r w:rsidRPr="007438DB">
        <w:rPr>
          <w:rFonts w:ascii="Arial" w:hAnsi="Arial" w:cs="Arial"/>
          <w:i/>
          <w:iCs/>
          <w:color w:val="404040"/>
        </w:rPr>
        <w:t>literature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review, </w:t>
      </w:r>
      <w:proofErr w:type="spellStart"/>
      <w:r w:rsidRPr="007438DB">
        <w:rPr>
          <w:rFonts w:ascii="Arial" w:hAnsi="Arial" w:cs="Arial"/>
          <w:i/>
          <w:iCs/>
          <w:color w:val="404040"/>
        </w:rPr>
        <w:t>document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analysis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, </w:t>
      </w:r>
      <w:proofErr w:type="spellStart"/>
      <w:r w:rsidRPr="007438DB">
        <w:rPr>
          <w:rFonts w:ascii="Arial" w:hAnsi="Arial" w:cs="Arial"/>
          <w:i/>
          <w:iCs/>
          <w:color w:val="404040"/>
        </w:rPr>
        <w:t>and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historical-urban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survey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, it </w:t>
      </w:r>
      <w:proofErr w:type="spellStart"/>
      <w:r w:rsidRPr="007438DB">
        <w:rPr>
          <w:rFonts w:ascii="Arial" w:hAnsi="Arial" w:cs="Arial"/>
          <w:i/>
          <w:iCs/>
          <w:color w:val="404040"/>
        </w:rPr>
        <w:t>seeks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to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understand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the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r w:rsidRPr="007438DB">
        <w:rPr>
          <w:rFonts w:ascii="Arial" w:hAnsi="Arial" w:cs="Arial"/>
          <w:i/>
          <w:iCs/>
          <w:color w:val="404040"/>
        </w:rPr>
        <w:lastRenderedPageBreak/>
        <w:t xml:space="preserve">processes </w:t>
      </w:r>
      <w:proofErr w:type="spellStart"/>
      <w:r w:rsidRPr="007438DB">
        <w:rPr>
          <w:rFonts w:ascii="Arial" w:hAnsi="Arial" w:cs="Arial"/>
          <w:i/>
          <w:iCs/>
          <w:color w:val="404040"/>
        </w:rPr>
        <w:t>of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territorial dispute </w:t>
      </w:r>
      <w:proofErr w:type="spellStart"/>
      <w:r w:rsidRPr="007438DB">
        <w:rPr>
          <w:rFonts w:ascii="Arial" w:hAnsi="Arial" w:cs="Arial"/>
          <w:i/>
          <w:iCs/>
          <w:color w:val="404040"/>
        </w:rPr>
        <w:t>and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assess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the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effectiveness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of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public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protection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policies. </w:t>
      </w:r>
      <w:proofErr w:type="spellStart"/>
      <w:r w:rsidRPr="007438DB">
        <w:rPr>
          <w:rFonts w:ascii="Arial" w:hAnsi="Arial" w:cs="Arial"/>
          <w:i/>
          <w:iCs/>
          <w:color w:val="404040"/>
        </w:rPr>
        <w:t>From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this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research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, it </w:t>
      </w:r>
      <w:proofErr w:type="spellStart"/>
      <w:r w:rsidRPr="007438DB">
        <w:rPr>
          <w:rFonts w:ascii="Arial" w:hAnsi="Arial" w:cs="Arial"/>
          <w:i/>
          <w:iCs/>
          <w:color w:val="404040"/>
        </w:rPr>
        <w:t>is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possible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to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conclude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that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Candomblé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temples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play </w:t>
      </w:r>
      <w:proofErr w:type="spellStart"/>
      <w:r w:rsidRPr="007438DB">
        <w:rPr>
          <w:rFonts w:ascii="Arial" w:hAnsi="Arial" w:cs="Arial"/>
          <w:i/>
          <w:iCs/>
          <w:color w:val="404040"/>
        </w:rPr>
        <w:t>an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essential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role in </w:t>
      </w:r>
      <w:proofErr w:type="spellStart"/>
      <w:r w:rsidRPr="007438DB">
        <w:rPr>
          <w:rFonts w:ascii="Arial" w:hAnsi="Arial" w:cs="Arial"/>
          <w:i/>
          <w:iCs/>
          <w:color w:val="404040"/>
        </w:rPr>
        <w:t>preserving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Salvador’s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cultural </w:t>
      </w:r>
      <w:proofErr w:type="spellStart"/>
      <w:r w:rsidRPr="007438DB">
        <w:rPr>
          <w:rFonts w:ascii="Arial" w:hAnsi="Arial" w:cs="Arial"/>
          <w:i/>
          <w:iCs/>
          <w:color w:val="404040"/>
        </w:rPr>
        <w:t>and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environmental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heritage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, </w:t>
      </w:r>
      <w:proofErr w:type="spellStart"/>
      <w:r w:rsidRPr="007438DB">
        <w:rPr>
          <w:rFonts w:ascii="Arial" w:hAnsi="Arial" w:cs="Arial"/>
          <w:i/>
          <w:iCs/>
          <w:color w:val="404040"/>
        </w:rPr>
        <w:t>even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under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strong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urban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pressure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.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Their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continued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existence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reaffirms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the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importance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of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diversity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and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the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right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to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the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city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. </w:t>
      </w:r>
      <w:proofErr w:type="spellStart"/>
      <w:r w:rsidRPr="007438DB">
        <w:rPr>
          <w:rFonts w:ascii="Arial" w:hAnsi="Arial" w:cs="Arial"/>
          <w:i/>
          <w:iCs/>
          <w:color w:val="404040"/>
        </w:rPr>
        <w:t>Ensuring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their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permanence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requires inclusive </w:t>
      </w:r>
      <w:proofErr w:type="spellStart"/>
      <w:r w:rsidRPr="007438DB">
        <w:rPr>
          <w:rFonts w:ascii="Arial" w:hAnsi="Arial" w:cs="Arial"/>
          <w:i/>
          <w:iCs/>
          <w:color w:val="404040"/>
        </w:rPr>
        <w:t>public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policies </w:t>
      </w:r>
      <w:proofErr w:type="spellStart"/>
      <w:r w:rsidRPr="007438DB">
        <w:rPr>
          <w:rFonts w:ascii="Arial" w:hAnsi="Arial" w:cs="Arial"/>
          <w:i/>
          <w:iCs/>
          <w:color w:val="404040"/>
        </w:rPr>
        <w:t>and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the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recognition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of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these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spaces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as </w:t>
      </w:r>
      <w:proofErr w:type="spellStart"/>
      <w:r w:rsidRPr="007438DB">
        <w:rPr>
          <w:rFonts w:ascii="Arial" w:hAnsi="Arial" w:cs="Arial"/>
          <w:i/>
          <w:iCs/>
          <w:color w:val="404040"/>
        </w:rPr>
        <w:t>sacred</w:t>
      </w:r>
      <w:proofErr w:type="spellEnd"/>
      <w:r w:rsidRPr="007438DB">
        <w:rPr>
          <w:rFonts w:ascii="Arial" w:hAnsi="Arial" w:cs="Arial"/>
          <w:i/>
          <w:iCs/>
          <w:color w:val="404040"/>
        </w:rPr>
        <w:t xml:space="preserve"> </w:t>
      </w:r>
      <w:proofErr w:type="spellStart"/>
      <w:r w:rsidRPr="007438DB">
        <w:rPr>
          <w:rFonts w:ascii="Arial" w:hAnsi="Arial" w:cs="Arial"/>
          <w:i/>
          <w:iCs/>
          <w:color w:val="404040"/>
        </w:rPr>
        <w:t>territories</w:t>
      </w:r>
      <w:proofErr w:type="spellEnd"/>
      <w:r w:rsidRPr="007438DB">
        <w:rPr>
          <w:rFonts w:ascii="Arial" w:hAnsi="Arial" w:cs="Arial"/>
          <w:i/>
          <w:iCs/>
          <w:color w:val="404040"/>
        </w:rPr>
        <w:t>.</w:t>
      </w:r>
    </w:p>
    <w:p w14:paraId="657111FF" w14:textId="06902CF6" w:rsidR="005E25EB" w:rsidRPr="00613037" w:rsidRDefault="005E25EB" w:rsidP="0092114A">
      <w:pPr>
        <w:spacing w:line="360" w:lineRule="auto"/>
        <w:jc w:val="both"/>
        <w:rPr>
          <w:rFonts w:ascii="Arial" w:hAnsi="Arial" w:cs="Arial"/>
          <w:i/>
          <w:iCs/>
          <w:color w:val="404040"/>
          <w:lang w:val="en-US"/>
        </w:rPr>
      </w:pPr>
    </w:p>
    <w:p w14:paraId="49491642" w14:textId="1F6689F1" w:rsidR="005C4AC5" w:rsidRPr="00613037" w:rsidRDefault="005E25EB" w:rsidP="0092114A">
      <w:pPr>
        <w:pStyle w:val="NormalWeb"/>
        <w:spacing w:line="360" w:lineRule="auto"/>
        <w:jc w:val="both"/>
        <w:rPr>
          <w:rFonts w:ascii="Arial" w:hAnsi="Arial" w:cs="Arial"/>
        </w:rPr>
      </w:pPr>
      <w:r w:rsidRPr="00613037">
        <w:rPr>
          <w:rFonts w:ascii="Arial" w:hAnsi="Arial" w:cs="Arial"/>
          <w:b/>
          <w:bCs/>
          <w:lang w:val="en-US"/>
        </w:rPr>
        <w:t>Keywords:</w:t>
      </w:r>
      <w:r w:rsidRPr="00613037">
        <w:rPr>
          <w:rFonts w:ascii="Arial" w:hAnsi="Arial" w:cs="Arial"/>
          <w:lang w:val="en-US"/>
        </w:rPr>
        <w:t xml:space="preserve"> </w:t>
      </w:r>
      <w:proofErr w:type="spellStart"/>
      <w:r w:rsidR="007438DB" w:rsidRPr="00613037">
        <w:rPr>
          <w:rFonts w:ascii="Arial" w:hAnsi="Arial" w:cs="Arial"/>
        </w:rPr>
        <w:t>Urban</w:t>
      </w:r>
      <w:proofErr w:type="spellEnd"/>
      <w:r w:rsidR="007438DB" w:rsidRPr="00613037">
        <w:rPr>
          <w:rFonts w:ascii="Arial" w:hAnsi="Arial" w:cs="Arial"/>
        </w:rPr>
        <w:t xml:space="preserve"> </w:t>
      </w:r>
      <w:proofErr w:type="spellStart"/>
      <w:r w:rsidR="007438DB" w:rsidRPr="00613037">
        <w:rPr>
          <w:rFonts w:ascii="Arial" w:hAnsi="Arial" w:cs="Arial"/>
        </w:rPr>
        <w:t>expansion</w:t>
      </w:r>
      <w:proofErr w:type="spellEnd"/>
      <w:r w:rsidR="007438DB" w:rsidRPr="00613037">
        <w:rPr>
          <w:rFonts w:ascii="Arial" w:hAnsi="Arial" w:cs="Arial"/>
        </w:rPr>
        <w:t xml:space="preserve">, Territorial </w:t>
      </w:r>
      <w:proofErr w:type="spellStart"/>
      <w:r w:rsidR="007438DB" w:rsidRPr="00613037">
        <w:rPr>
          <w:rFonts w:ascii="Arial" w:hAnsi="Arial" w:cs="Arial"/>
        </w:rPr>
        <w:t>conflicts</w:t>
      </w:r>
      <w:proofErr w:type="spellEnd"/>
      <w:r w:rsidR="007438DB" w:rsidRPr="00613037">
        <w:rPr>
          <w:rFonts w:ascii="Arial" w:hAnsi="Arial" w:cs="Arial"/>
        </w:rPr>
        <w:t xml:space="preserve">, Candomblé </w:t>
      </w:r>
      <w:proofErr w:type="spellStart"/>
      <w:r w:rsidR="007438DB" w:rsidRPr="00613037">
        <w:rPr>
          <w:rFonts w:ascii="Arial" w:hAnsi="Arial" w:cs="Arial"/>
        </w:rPr>
        <w:t>temples</w:t>
      </w:r>
      <w:proofErr w:type="spellEnd"/>
      <w:r w:rsidR="007438DB" w:rsidRPr="00613037">
        <w:rPr>
          <w:rFonts w:ascii="Arial" w:hAnsi="Arial" w:cs="Arial"/>
        </w:rPr>
        <w:t>.</w:t>
      </w:r>
    </w:p>
    <w:p w14:paraId="1EDFC0A7" w14:textId="227D60F9" w:rsidR="005E25EB" w:rsidRPr="00613037" w:rsidRDefault="005E25EB" w:rsidP="0092114A">
      <w:pPr>
        <w:pStyle w:val="Ttulo1"/>
        <w:tabs>
          <w:tab w:val="left" w:pos="344"/>
        </w:tabs>
        <w:spacing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613037">
        <w:rPr>
          <w:rFonts w:ascii="Arial" w:hAnsi="Arial" w:cs="Arial"/>
          <w:b/>
          <w:bCs/>
          <w:color w:val="auto"/>
          <w:sz w:val="24"/>
          <w:szCs w:val="24"/>
        </w:rPr>
        <w:t xml:space="preserve"> INTRODUÇÃO</w:t>
      </w:r>
    </w:p>
    <w:p w14:paraId="184DE978" w14:textId="77777777" w:rsidR="00D647DB" w:rsidRPr="00613037" w:rsidRDefault="00D647DB" w:rsidP="0092114A">
      <w:pPr>
        <w:spacing w:before="100" w:beforeAutospacing="1" w:after="100" w:afterAutospacing="1" w:line="360" w:lineRule="auto"/>
        <w:ind w:left="143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t>Os territórios sagrados das religiões de matriz africana ultrapassam a dimensão religiosa, constituindo espaços simbólicos, materiais e identitários. Em Salvador, a expansão urbana e a especulação imobiliária colocam esses locais em risco, afetando a preservação cultural e ambiental. As comunidades de terreiro exercem papel essencial na resistência cultural e na afirmação da identidade afro-brasileira. Ao unir espiritualidade e natureza, seus espaços formam núcleos de acolhimento e pertencimento, mas frequentemente enfrentam processos de desterritorialização devido à pressão urbana.</w:t>
      </w:r>
    </w:p>
    <w:p w14:paraId="35AB36BB" w14:textId="25663388" w:rsidR="00492F1E" w:rsidRPr="00613037" w:rsidRDefault="00D647DB" w:rsidP="0092114A">
      <w:pPr>
        <w:spacing w:before="100" w:beforeAutospacing="1" w:after="100" w:afterAutospacing="1" w:line="360" w:lineRule="auto"/>
        <w:ind w:left="143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t>Os terreiros de Candomblé são espaços de culto, memória e resistência. Reconhecidos pelo Instituto do Patrimônio Histórico e Artístico Nacional (IPHAN) e pela Constituição Federal como patrimônio cultural imaterial, esses locais passam por pressões urbanas que ameaçam sua integridade. Embora existam avanços jurídicos, a aplicação das políticas de preservação segue limitada frente à especulação imobiliária.</w:t>
      </w:r>
    </w:p>
    <w:p w14:paraId="5DEA3E49" w14:textId="52FD0A8B" w:rsidR="00492F1E" w:rsidRPr="00613037" w:rsidRDefault="00D647DB" w:rsidP="0092114A">
      <w:pPr>
        <w:spacing w:before="100" w:beforeAutospacing="1" w:after="100" w:afterAutospacing="1" w:line="360" w:lineRule="auto"/>
        <w:ind w:left="143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t>Para além da religiosidade, os terreiros desempenham funções sociais e comunitárias, fortalecendo identidades e combatendo o racismo religioso. Seus espaços ressignificam o território urbano, criando territorialidades próprias, muitas vezes ignoradas pelas lógicas de mercado e pelas políticas públicas</w:t>
      </w:r>
      <w:r w:rsidRPr="00613037">
        <w:rPr>
          <w:rFonts w:ascii="Arial" w:hAnsi="Arial" w:cs="Arial"/>
        </w:rPr>
        <w:t xml:space="preserve"> (Rego, 2008)</w:t>
      </w:r>
    </w:p>
    <w:p w14:paraId="6A7F9EAD" w14:textId="44515E65" w:rsidR="00492F1E" w:rsidRPr="00613037" w:rsidRDefault="00D647DB" w:rsidP="0092114A">
      <w:pPr>
        <w:spacing w:before="100" w:beforeAutospacing="1" w:after="100" w:afterAutospacing="1" w:line="360" w:lineRule="auto"/>
        <w:ind w:left="143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t xml:space="preserve">A urbanização desigual e a especulação imobiliária impactam diretamente os terreiros. Remoções e invasões demonstram como a modernização urbana tende a </w:t>
      </w:r>
      <w:r w:rsidRPr="00613037">
        <w:rPr>
          <w:rFonts w:ascii="Arial" w:hAnsi="Arial" w:cs="Arial"/>
        </w:rPr>
        <w:lastRenderedPageBreak/>
        <w:t>desconsiderar o valor simbólico e cultural desses territórios. Exemplos como a Casa Branca e o Ilê Oxumarê revelam ameaças recorrentes, agravadas pela ausência de políticas efetivas de proteção.</w:t>
      </w:r>
      <w:r w:rsidRPr="00613037">
        <w:rPr>
          <w:rFonts w:ascii="Arial" w:hAnsi="Arial" w:cs="Arial"/>
        </w:rPr>
        <w:t xml:space="preserve"> (Dourado,</w:t>
      </w:r>
      <w:r w:rsidR="001A352C" w:rsidRPr="00613037">
        <w:rPr>
          <w:rFonts w:ascii="Arial" w:hAnsi="Arial" w:cs="Arial"/>
        </w:rPr>
        <w:t xml:space="preserve"> 2011)</w:t>
      </w:r>
    </w:p>
    <w:p w14:paraId="5EEC8503" w14:textId="285D09CE" w:rsidR="00492F1E" w:rsidRPr="00613037" w:rsidRDefault="00D647DB" w:rsidP="0092114A">
      <w:pPr>
        <w:spacing w:before="100" w:beforeAutospacing="1" w:after="100" w:afterAutospacing="1" w:line="360" w:lineRule="auto"/>
        <w:ind w:left="143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t>As práticas religiosas têm papel central na paisagem urbana, especialmente nas tradições de matriz africana, onde se destaca a profunda relação com a natureza e com a conservação ambiental (</w:t>
      </w:r>
      <w:r w:rsidR="001A352C" w:rsidRPr="00613037">
        <w:rPr>
          <w:rFonts w:ascii="Arial" w:hAnsi="Arial" w:cs="Arial"/>
        </w:rPr>
        <w:t>Barros, 2000</w:t>
      </w:r>
      <w:r w:rsidR="001A352C" w:rsidRPr="00613037">
        <w:rPr>
          <w:rFonts w:ascii="Arial" w:hAnsi="Arial" w:cs="Arial"/>
        </w:rPr>
        <w:t xml:space="preserve">; </w:t>
      </w:r>
      <w:proofErr w:type="spellStart"/>
      <w:r w:rsidRPr="00613037">
        <w:rPr>
          <w:rFonts w:ascii="Arial" w:hAnsi="Arial" w:cs="Arial"/>
        </w:rPr>
        <w:t>Posey</w:t>
      </w:r>
      <w:proofErr w:type="spellEnd"/>
      <w:r w:rsidRPr="00613037">
        <w:rPr>
          <w:rFonts w:ascii="Arial" w:hAnsi="Arial" w:cs="Arial"/>
        </w:rPr>
        <w:t xml:space="preserve">, 2002). Nos terreiros de Salvador, essa relação se manifesta em árvores e áreas sagradas, como a jaqueira, o bambuzal de </w:t>
      </w:r>
      <w:proofErr w:type="spellStart"/>
      <w:r w:rsidRPr="00613037">
        <w:rPr>
          <w:rFonts w:ascii="Arial" w:hAnsi="Arial" w:cs="Arial"/>
        </w:rPr>
        <w:t>Dankô</w:t>
      </w:r>
      <w:proofErr w:type="spellEnd"/>
      <w:r w:rsidRPr="00613037">
        <w:rPr>
          <w:rFonts w:ascii="Arial" w:hAnsi="Arial" w:cs="Arial"/>
        </w:rPr>
        <w:t xml:space="preserve"> e a gameleira (</w:t>
      </w:r>
      <w:proofErr w:type="spellStart"/>
      <w:r w:rsidRPr="00613037">
        <w:rPr>
          <w:rFonts w:ascii="Arial" w:hAnsi="Arial" w:cs="Arial"/>
        </w:rPr>
        <w:t>Irôko</w:t>
      </w:r>
      <w:proofErr w:type="spellEnd"/>
      <w:r w:rsidRPr="00613037">
        <w:rPr>
          <w:rFonts w:ascii="Arial" w:hAnsi="Arial" w:cs="Arial"/>
        </w:rPr>
        <w:t>). Situados historicamente em áreas elevadas da cidade, esses espaços enfrentam territorialização e desterritorialização motivadas pela especulação imobiliária (GOV,</w:t>
      </w:r>
      <w:r w:rsidR="001A352C" w:rsidRPr="00613037">
        <w:rPr>
          <w:rFonts w:ascii="Arial" w:hAnsi="Arial" w:cs="Arial"/>
        </w:rPr>
        <w:t xml:space="preserve"> </w:t>
      </w:r>
      <w:r w:rsidRPr="00613037">
        <w:rPr>
          <w:rFonts w:ascii="Arial" w:hAnsi="Arial" w:cs="Arial"/>
        </w:rPr>
        <w:t>2024</w:t>
      </w:r>
      <w:r w:rsidR="001A352C" w:rsidRPr="00613037">
        <w:rPr>
          <w:rFonts w:ascii="Arial" w:hAnsi="Arial" w:cs="Arial"/>
        </w:rPr>
        <w:t>)</w:t>
      </w:r>
      <w:r w:rsidR="00EE7F80">
        <w:rPr>
          <w:rFonts w:ascii="Arial" w:hAnsi="Arial" w:cs="Arial"/>
        </w:rPr>
        <w:t>.</w:t>
      </w:r>
      <w:r w:rsidR="00492F1E" w:rsidRPr="00613037">
        <w:rPr>
          <w:rFonts w:ascii="Arial" w:hAnsi="Arial" w:cs="Arial"/>
        </w:rPr>
        <w:br/>
      </w:r>
      <w:r w:rsidR="00492F1E" w:rsidRPr="00613037">
        <w:rPr>
          <w:rFonts w:ascii="Arial" w:hAnsi="Arial" w:cs="Arial"/>
        </w:rPr>
        <w:br/>
        <w:t xml:space="preserve">              </w:t>
      </w:r>
      <w:r w:rsidR="00492F1E" w:rsidRPr="00613037">
        <w:rPr>
          <w:rFonts w:ascii="Arial" w:hAnsi="Arial" w:cs="Arial"/>
        </w:rPr>
        <w:drawing>
          <wp:inline distT="0" distB="0" distL="0" distR="0" wp14:anchorId="6ACC5A15" wp14:editId="78A96099">
            <wp:extent cx="4640580" cy="1607820"/>
            <wp:effectExtent l="0" t="0" r="0" b="11430"/>
            <wp:docPr id="1933344450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2B7A1AD" w14:textId="77777777" w:rsidR="00492F1E" w:rsidRPr="00613037" w:rsidRDefault="00492F1E" w:rsidP="0092114A">
      <w:pPr>
        <w:spacing w:before="100" w:beforeAutospacing="1" w:after="100" w:afterAutospacing="1" w:line="360" w:lineRule="auto"/>
        <w:ind w:left="143" w:firstLine="360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t>Quadro 1 – Estratos de Terreiros de Candomblé na Cidade</w:t>
      </w:r>
    </w:p>
    <w:p w14:paraId="3F36EB63" w14:textId="7447F895" w:rsidR="00492F1E" w:rsidRPr="00613037" w:rsidRDefault="00492F1E" w:rsidP="0092114A">
      <w:pPr>
        <w:spacing w:before="100" w:beforeAutospacing="1" w:after="100" w:afterAutospacing="1" w:line="360" w:lineRule="auto"/>
        <w:ind w:left="143" w:firstLine="360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t>Fonte: Baseado em Jussara Rêgo</w:t>
      </w:r>
    </w:p>
    <w:p w14:paraId="131103AA" w14:textId="081851CF" w:rsidR="00492F1E" w:rsidRPr="00613037" w:rsidRDefault="00492F1E" w:rsidP="0092114A">
      <w:pPr>
        <w:spacing w:before="100" w:beforeAutospacing="1" w:after="100" w:afterAutospacing="1" w:line="360" w:lineRule="auto"/>
        <w:ind w:left="143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t xml:space="preserve">Casos como o da Casa Branca, tombada em 1984 e ameaçada por construções irregulares, e o do Ilê Oxumarê, reduzido por obras urbanas, evidenciam a fragilidade desses territórios. A resistência das comunidades, por meio de mobilização social e ações legais, tem sido essencial para sua preservação (Sant’anna, 1999; Siqueira, 1998).                                                                                     </w:t>
      </w:r>
    </w:p>
    <w:p w14:paraId="5CE96D45" w14:textId="024BC8DF" w:rsidR="00492F1E" w:rsidRPr="00613037" w:rsidRDefault="00492F1E" w:rsidP="0092114A">
      <w:pPr>
        <w:spacing w:before="100" w:beforeAutospacing="1" w:after="100" w:afterAutospacing="1" w:line="360" w:lineRule="auto"/>
        <w:ind w:left="143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t>Apesar de avanços institucionais, como registros do IPHAN e mapeamentos acadêmicos, a integração entre patrimônio cultural e planejamento urbano ainda é limitada. A especulação imobiliária e a intolerância religiosa continuam a ameaçar os terreiros, reforçando a necessidade de políticas interdisciplinares que articulem dimensões sociais, culturais, religiosas e ecológicas (Prandi,2001).</w:t>
      </w:r>
    </w:p>
    <w:p w14:paraId="64590EF2" w14:textId="4B3E258C" w:rsidR="00066178" w:rsidRPr="00613037" w:rsidRDefault="005C4AC5" w:rsidP="0092114A">
      <w:pPr>
        <w:spacing w:before="100" w:beforeAutospacing="1" w:after="100" w:afterAutospacing="1" w:line="360" w:lineRule="auto"/>
        <w:ind w:left="143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lastRenderedPageBreak/>
        <w:t>Assim, compreender os conflitos socioespaciais que envolvem os terreiros tombados de Salvador é essencial para garantir o direito à cidade, a diversidade religiosa e a justiça territorial.</w:t>
      </w:r>
    </w:p>
    <w:p w14:paraId="3612136C" w14:textId="2CE77BF4" w:rsidR="00066178" w:rsidRPr="00613037" w:rsidRDefault="005E25EB" w:rsidP="0092114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613037">
        <w:rPr>
          <w:rFonts w:ascii="Arial" w:hAnsi="Arial" w:cs="Arial"/>
          <w:b/>
          <w:bCs/>
        </w:rPr>
        <w:t>M</w:t>
      </w:r>
      <w:r w:rsidR="00492F1E" w:rsidRPr="00613037">
        <w:rPr>
          <w:rFonts w:ascii="Arial" w:hAnsi="Arial" w:cs="Arial"/>
          <w:b/>
          <w:bCs/>
        </w:rPr>
        <w:t>ÉTODOS</w:t>
      </w:r>
    </w:p>
    <w:p w14:paraId="6A65426E" w14:textId="62D2D4C9" w:rsidR="00066178" w:rsidRPr="00613037" w:rsidRDefault="005C4AC5" w:rsidP="0061303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t>O estudo adota abordagem qualitativa baseada em revisão bibliográfica e análise documental. Foram considerados livros, artigos e relatórios institucionais em português e inglês, acessados em bases como Google Scholar e IBGE. O foco recaiu sobre os terreiros tombados em Salvador, relacionando urbanização, identidade cultural e preservação patrimoni</w:t>
      </w:r>
      <w:r w:rsidR="00066178" w:rsidRPr="00613037">
        <w:rPr>
          <w:rFonts w:ascii="Arial" w:hAnsi="Arial" w:cs="Arial"/>
        </w:rPr>
        <w:t>al</w:t>
      </w:r>
      <w:r w:rsidR="0092114A" w:rsidRPr="00613037">
        <w:rPr>
          <w:rFonts w:ascii="Arial" w:hAnsi="Arial" w:cs="Arial"/>
        </w:rPr>
        <w:t>.</w:t>
      </w:r>
      <w:r w:rsidR="00F219E6" w:rsidRPr="00613037">
        <w:rPr>
          <w:rFonts w:ascii="Arial" w:hAnsi="Arial" w:cs="Arial"/>
        </w:rPr>
        <w:br/>
      </w:r>
    </w:p>
    <w:p w14:paraId="523DD646" w14:textId="3E88736A" w:rsidR="00066178" w:rsidRPr="00613037" w:rsidRDefault="005E25EB" w:rsidP="0092114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613037">
        <w:rPr>
          <w:rFonts w:ascii="Arial" w:hAnsi="Arial" w:cs="Arial"/>
          <w:b/>
          <w:bCs/>
        </w:rPr>
        <w:t>RE</w:t>
      </w:r>
      <w:r w:rsidR="00492F1E" w:rsidRPr="00613037">
        <w:rPr>
          <w:rFonts w:ascii="Arial" w:hAnsi="Arial" w:cs="Arial"/>
          <w:b/>
          <w:bCs/>
        </w:rPr>
        <w:t>SULTADOS E DISCUSSÕES</w:t>
      </w:r>
    </w:p>
    <w:p w14:paraId="34884A15" w14:textId="35737851" w:rsidR="00492F1E" w:rsidRPr="00613037" w:rsidRDefault="00492F1E" w:rsidP="0061303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t xml:space="preserve">Os resultados </w:t>
      </w:r>
      <w:r w:rsidRPr="00613037">
        <w:rPr>
          <w:rFonts w:ascii="Arial" w:hAnsi="Arial" w:cs="Arial"/>
        </w:rPr>
        <w:t>de</w:t>
      </w:r>
      <w:r w:rsidRPr="00613037">
        <w:rPr>
          <w:rFonts w:ascii="Arial" w:hAnsi="Arial" w:cs="Arial"/>
        </w:rPr>
        <w:t>mo</w:t>
      </w:r>
      <w:r w:rsidRPr="00613037">
        <w:rPr>
          <w:rFonts w:ascii="Arial" w:hAnsi="Arial" w:cs="Arial"/>
        </w:rPr>
        <w:t>n</w:t>
      </w:r>
      <w:r w:rsidRPr="00613037">
        <w:rPr>
          <w:rFonts w:ascii="Arial" w:hAnsi="Arial" w:cs="Arial"/>
        </w:rPr>
        <w:t>stram que os terreiros preservam práticas religiosas, memórias e saberes ancestrais, além de funcionarem como centros de conservação ambiental. Contudo, permanecem vulneráveis à especulação imobiliária e à intolerância religiosa.</w:t>
      </w:r>
    </w:p>
    <w:p w14:paraId="6B8ED63A" w14:textId="5B1AE18F" w:rsidR="00492F1E" w:rsidRPr="00613037" w:rsidRDefault="00492F1E" w:rsidP="0061303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t>Sob a ótica de Lefebvre</w:t>
      </w:r>
      <w:r w:rsidR="0092114A" w:rsidRPr="00613037">
        <w:rPr>
          <w:rFonts w:ascii="Arial" w:hAnsi="Arial" w:cs="Arial"/>
        </w:rPr>
        <w:t xml:space="preserve"> (2001)</w:t>
      </w:r>
      <w:r w:rsidRPr="00613037">
        <w:rPr>
          <w:rFonts w:ascii="Arial" w:hAnsi="Arial" w:cs="Arial"/>
        </w:rPr>
        <w:t>, o espaço urbano é produto de relações de poder, e os conflitos envolvendo os terreiros expressam processos históricos de marginalização. Apesar do reconhecimento legal, há um descompasso entre norma e prática, o que reforça a necessidade de maior protagonismo das comunidades de terreiro na formulação de políticas públicas.</w:t>
      </w:r>
    </w:p>
    <w:p w14:paraId="7169EFDD" w14:textId="1A4443F0" w:rsidR="00066178" w:rsidRPr="00613037" w:rsidRDefault="00492F1E" w:rsidP="0061303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t>Assim, os terreiros emergem como núcleos de resistência e oferecem contribuições relevantes ao debate sobre justiça ambiental e direito à cidade, articulando espiritualidade, ecologia e identidade.</w:t>
      </w:r>
    </w:p>
    <w:p w14:paraId="7848935C" w14:textId="26BA9AA0" w:rsidR="005E25EB" w:rsidRPr="00613037" w:rsidRDefault="00613037" w:rsidP="00613037">
      <w:pPr>
        <w:pStyle w:val="Ttulo1"/>
        <w:tabs>
          <w:tab w:val="left" w:pos="-5"/>
        </w:tabs>
        <w:spacing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 </w:t>
      </w:r>
      <w:r w:rsidR="00492F1E" w:rsidRPr="00613037">
        <w:rPr>
          <w:rFonts w:ascii="Arial" w:hAnsi="Arial" w:cs="Arial"/>
          <w:b/>
          <w:bCs/>
          <w:color w:val="auto"/>
          <w:sz w:val="24"/>
          <w:szCs w:val="24"/>
        </w:rPr>
        <w:t>CONCLUSÕES</w:t>
      </w:r>
    </w:p>
    <w:p w14:paraId="3BA2408D" w14:textId="1718839A" w:rsidR="005E25EB" w:rsidRPr="00613037" w:rsidRDefault="0092114A" w:rsidP="0092114A">
      <w:pPr>
        <w:spacing w:line="360" w:lineRule="auto"/>
        <w:ind w:left="143"/>
        <w:jc w:val="both"/>
        <w:rPr>
          <w:rFonts w:ascii="Arial" w:hAnsi="Arial" w:cs="Arial"/>
        </w:rPr>
      </w:pPr>
      <w:r w:rsidRPr="00613037">
        <w:rPr>
          <w:rFonts w:ascii="Arial" w:hAnsi="Arial" w:cs="Arial"/>
        </w:rPr>
        <w:t xml:space="preserve">O estudo revela que os terreiros de Candomblé em Salvador são essenciais para a preservação cultural, ambiental e religiosa da cidade. A expansão urbana acelerada coloca esses espaços em risco, porém sua resistência reafirma o direito à cidade e à diversidade. Para assegurar sua permanência, torna-se vital promover políticas públicas inclusivas, planejamento urbano integrado e participação ativa das </w:t>
      </w:r>
      <w:r w:rsidRPr="00613037">
        <w:rPr>
          <w:rFonts w:ascii="Arial" w:hAnsi="Arial" w:cs="Arial"/>
        </w:rPr>
        <w:lastRenderedPageBreak/>
        <w:t>comunidades tradicionais. Valorizar os terreiros enquanto territórios sagrados fortalece a construção de uma cidade justa, plural e democrática.</w:t>
      </w:r>
      <w:r w:rsidR="005E25EB" w:rsidRPr="00613037">
        <w:rPr>
          <w:rFonts w:ascii="Arial" w:hAnsi="Arial" w:cs="Arial"/>
        </w:rPr>
        <w:br w:type="page"/>
      </w:r>
      <w:r w:rsidR="005E25EB" w:rsidRPr="00613037">
        <w:rPr>
          <w:rFonts w:ascii="Arial" w:hAnsi="Arial" w:cs="Arial"/>
          <w:b/>
        </w:rPr>
        <w:lastRenderedPageBreak/>
        <w:t>REFERÊNCIAS</w:t>
      </w:r>
    </w:p>
    <w:p w14:paraId="5A93337E" w14:textId="77777777" w:rsidR="005E25EB" w:rsidRPr="00613037" w:rsidRDefault="005E25EB" w:rsidP="00BC2EED">
      <w:pPr>
        <w:rPr>
          <w:rFonts w:ascii="Arial" w:hAnsi="Arial" w:cs="Arial"/>
          <w:b/>
          <w:sz w:val="22"/>
          <w:szCs w:val="22"/>
        </w:rPr>
      </w:pPr>
    </w:p>
    <w:p w14:paraId="5C2B538B" w14:textId="029D66C1" w:rsidR="005E25EB" w:rsidRPr="00613037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hAnsi="Arial" w:cs="Arial"/>
          <w:sz w:val="22"/>
          <w:szCs w:val="22"/>
        </w:rPr>
      </w:pPr>
      <w:r w:rsidRPr="00613037">
        <w:rPr>
          <w:rFonts w:ascii="Arial" w:hAnsi="Arial" w:cs="Arial"/>
          <w:sz w:val="22"/>
          <w:szCs w:val="22"/>
        </w:rPr>
        <w:t xml:space="preserve">ALFONSO, Louise Prado; FERREIRA, Martha Rodrigues; SANTOS, Marceli Teixeira dos. TERRITÓRIOS DE PELOTAS Cartografia de uma cidade sagrada. </w:t>
      </w:r>
      <w:r w:rsidRPr="00613037">
        <w:rPr>
          <w:rFonts w:ascii="Arial" w:hAnsi="Arial" w:cs="Arial"/>
          <w:b/>
          <w:sz w:val="22"/>
          <w:szCs w:val="22"/>
        </w:rPr>
        <w:t xml:space="preserve">PIXO – Revista de Arquitetura, Cidade e </w:t>
      </w:r>
      <w:proofErr w:type="spellStart"/>
      <w:r w:rsidRPr="00613037">
        <w:rPr>
          <w:rFonts w:ascii="Arial" w:hAnsi="Arial" w:cs="Arial"/>
          <w:b/>
          <w:sz w:val="22"/>
          <w:szCs w:val="22"/>
        </w:rPr>
        <w:t>Contemporaniedade</w:t>
      </w:r>
      <w:proofErr w:type="spellEnd"/>
      <w:r w:rsidRPr="00613037">
        <w:rPr>
          <w:rFonts w:ascii="Arial" w:hAnsi="Arial" w:cs="Arial"/>
          <w:sz w:val="22"/>
          <w:szCs w:val="22"/>
        </w:rPr>
        <w:t xml:space="preserve">. n.22, v. 6, 2022.  Disponível em: </w:t>
      </w:r>
      <w:hyperlink r:id="rId12" w:history="1">
        <w:r w:rsidR="00BC2EED" w:rsidRPr="00613037">
          <w:rPr>
            <w:rStyle w:val="Hyperlink"/>
            <w:rFonts w:ascii="Arial" w:eastAsiaTheme="majorEastAsia" w:hAnsi="Arial" w:cs="Arial"/>
            <w:color w:val="0070C0"/>
            <w:sz w:val="22"/>
            <w:szCs w:val="22"/>
          </w:rPr>
          <w:t>file:///C:/Users/Eixo%20integrativo/Downloads/25590-Texto%20do%20artigo-94689-1-10-20231101.pdf</w:t>
        </w:r>
      </w:hyperlink>
      <w:r w:rsidR="00BC2EED" w:rsidRPr="00613037">
        <w:rPr>
          <w:rFonts w:ascii="Arial" w:hAnsi="Arial" w:cs="Arial"/>
          <w:sz w:val="22"/>
          <w:szCs w:val="22"/>
        </w:rPr>
        <w:t xml:space="preserve"> </w:t>
      </w:r>
      <w:r w:rsidRPr="00613037">
        <w:rPr>
          <w:rFonts w:ascii="Arial" w:hAnsi="Arial" w:cs="Arial"/>
          <w:sz w:val="22"/>
          <w:szCs w:val="22"/>
        </w:rPr>
        <w:t>Acesso em: 15 jan. 2025.</w:t>
      </w:r>
    </w:p>
    <w:p w14:paraId="0530F57C" w14:textId="77777777" w:rsidR="005E25EB" w:rsidRPr="00613037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eastAsia="Arial" w:hAnsi="Arial" w:cs="Arial"/>
          <w:sz w:val="22"/>
          <w:szCs w:val="22"/>
        </w:rPr>
      </w:pPr>
    </w:p>
    <w:p w14:paraId="42463E6F" w14:textId="77777777" w:rsidR="005E25EB" w:rsidRPr="00613037" w:rsidRDefault="005E25EB" w:rsidP="00BC2EE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3037">
        <w:rPr>
          <w:rFonts w:ascii="Arial" w:eastAsia="Arial" w:hAnsi="Arial" w:cs="Arial"/>
          <w:sz w:val="22"/>
          <w:szCs w:val="22"/>
        </w:rPr>
        <w:t xml:space="preserve">BN - BAHIA NOTÍCIAS. </w:t>
      </w:r>
      <w:r w:rsidRPr="00613037">
        <w:rPr>
          <w:rFonts w:ascii="Arial" w:hAnsi="Arial" w:cs="Arial"/>
          <w:b/>
          <w:bCs/>
          <w:sz w:val="22"/>
          <w:szCs w:val="22"/>
        </w:rPr>
        <w:t>Prefeitura de Salvador determina desapropriação de terreno ao lado do Terreiro Casa Branca</w:t>
      </w:r>
      <w:r w:rsidRPr="00613037">
        <w:rPr>
          <w:rFonts w:ascii="Arial" w:eastAsia="Arial" w:hAnsi="Arial" w:cs="Arial"/>
          <w:b/>
          <w:bCs/>
          <w:sz w:val="22"/>
          <w:szCs w:val="22"/>
        </w:rPr>
        <w:t>.</w:t>
      </w:r>
      <w:r w:rsidRPr="0061303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613037">
        <w:rPr>
          <w:rFonts w:ascii="Arial" w:hAnsi="Arial" w:cs="Arial"/>
          <w:sz w:val="22"/>
          <w:szCs w:val="22"/>
        </w:rPr>
        <w:t>GeoTextos</w:t>
      </w:r>
      <w:proofErr w:type="spellEnd"/>
      <w:r w:rsidRPr="00613037">
        <w:rPr>
          <w:rFonts w:ascii="Arial" w:hAnsi="Arial" w:cs="Arial"/>
          <w:sz w:val="22"/>
          <w:szCs w:val="22"/>
        </w:rPr>
        <w:t xml:space="preserve">, vol. 2, n. 2, 2006. Jussara Rêgo 31-85. </w:t>
      </w:r>
      <w:r w:rsidRPr="00613037">
        <w:rPr>
          <w:rFonts w:ascii="Arial" w:eastAsia="Arial" w:hAnsi="Arial" w:cs="Arial"/>
          <w:sz w:val="22"/>
          <w:szCs w:val="22"/>
        </w:rPr>
        <w:t xml:space="preserve">Bahia: Prefeitura Municipal de Salvador, 2024. Disponível em: </w:t>
      </w:r>
      <w:hyperlink r:id="rId13" w:history="1">
        <w:r w:rsidRPr="00613037">
          <w:rPr>
            <w:rStyle w:val="Hyperlink"/>
            <w:rFonts w:ascii="Arial" w:eastAsiaTheme="majorEastAsia" w:hAnsi="Arial" w:cs="Arial"/>
            <w:color w:val="0070C0"/>
            <w:sz w:val="22"/>
            <w:szCs w:val="22"/>
          </w:rPr>
          <w:t>https://www.bahianoticias.com.br/noticia/291510-prefeitura-de-salvador-determina-desapropriacao-de-terreno-ao-lado-do-terreiro-casa-branca</w:t>
        </w:r>
      </w:hyperlink>
      <w:r w:rsidRPr="00613037">
        <w:rPr>
          <w:rFonts w:ascii="Arial" w:hAnsi="Arial" w:cs="Arial"/>
          <w:sz w:val="22"/>
          <w:szCs w:val="22"/>
        </w:rPr>
        <w:t xml:space="preserve">  </w:t>
      </w:r>
      <w:r w:rsidRPr="00613037">
        <w:rPr>
          <w:rFonts w:ascii="Arial" w:eastAsia="Arial" w:hAnsi="Arial" w:cs="Arial"/>
          <w:sz w:val="22"/>
          <w:szCs w:val="22"/>
        </w:rPr>
        <w:t xml:space="preserve"> Acesso em: 20 set. 2024.</w:t>
      </w:r>
    </w:p>
    <w:p w14:paraId="1BD5FE7F" w14:textId="77777777" w:rsidR="005E25EB" w:rsidRPr="00613037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eastAsia="Arial" w:hAnsi="Arial" w:cs="Arial"/>
          <w:sz w:val="22"/>
          <w:szCs w:val="22"/>
        </w:rPr>
      </w:pPr>
    </w:p>
    <w:p w14:paraId="7B90FD43" w14:textId="77777777" w:rsidR="005E25EB" w:rsidRPr="00613037" w:rsidRDefault="005E25EB" w:rsidP="00BC2EED">
      <w:pPr>
        <w:rPr>
          <w:rFonts w:ascii="Arial" w:hAnsi="Arial" w:cs="Arial"/>
          <w:sz w:val="22"/>
          <w:szCs w:val="22"/>
        </w:rPr>
      </w:pPr>
      <w:r w:rsidRPr="00613037">
        <w:rPr>
          <w:rFonts w:ascii="Arial" w:eastAsia="Arial" w:hAnsi="Arial" w:cs="Arial"/>
          <w:sz w:val="22"/>
          <w:szCs w:val="22"/>
        </w:rPr>
        <w:t xml:space="preserve">BAHIA (Salvador). </w:t>
      </w:r>
      <w:r w:rsidRPr="00613037">
        <w:rPr>
          <w:rFonts w:ascii="Arial" w:eastAsia="Arial" w:hAnsi="Arial" w:cs="Arial"/>
          <w:b/>
          <w:bCs/>
          <w:sz w:val="22"/>
          <w:szCs w:val="22"/>
        </w:rPr>
        <w:t>Terreiros Salvador.</w:t>
      </w:r>
      <w:r w:rsidRPr="00613037">
        <w:rPr>
          <w:rFonts w:ascii="Arial" w:eastAsia="Arial" w:hAnsi="Arial" w:cs="Arial"/>
          <w:sz w:val="22"/>
          <w:szCs w:val="22"/>
        </w:rPr>
        <w:t xml:space="preserve"> Bahia: Prefeitura Municipal de Salvador, 2024. Disponível em: </w:t>
      </w:r>
      <w:hyperlink r:id="rId14" w:history="1">
        <w:r w:rsidRPr="00613037">
          <w:rPr>
            <w:rStyle w:val="Hyperlink"/>
            <w:rFonts w:ascii="Arial" w:eastAsiaTheme="majorEastAsia" w:hAnsi="Arial" w:cs="Arial"/>
            <w:color w:val="0070C0"/>
            <w:sz w:val="22"/>
            <w:szCs w:val="22"/>
          </w:rPr>
          <w:t>https://dados.salvador.ba.gov.br/datasets/terreiros-salvador/about</w:t>
        </w:r>
      </w:hyperlink>
      <w:r w:rsidRPr="00613037">
        <w:rPr>
          <w:rFonts w:ascii="Arial" w:hAnsi="Arial" w:cs="Arial"/>
          <w:sz w:val="22"/>
          <w:szCs w:val="22"/>
        </w:rPr>
        <w:t xml:space="preserve">. </w:t>
      </w:r>
      <w:r w:rsidRPr="00613037">
        <w:rPr>
          <w:rFonts w:ascii="Arial" w:eastAsia="Arial" w:hAnsi="Arial" w:cs="Arial"/>
          <w:sz w:val="22"/>
          <w:szCs w:val="22"/>
        </w:rPr>
        <w:t xml:space="preserve"> Acesso em: 04 out. 2024.</w:t>
      </w:r>
    </w:p>
    <w:p w14:paraId="0450FD36" w14:textId="77777777" w:rsidR="005E25EB" w:rsidRPr="00613037" w:rsidRDefault="005E25EB" w:rsidP="00BC2EED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320EBC7C" w14:textId="77777777" w:rsidR="005E25EB" w:rsidRPr="00613037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eastAsia="Arial" w:hAnsi="Arial" w:cs="Arial"/>
          <w:sz w:val="22"/>
          <w:szCs w:val="22"/>
        </w:rPr>
      </w:pPr>
      <w:r w:rsidRPr="00613037">
        <w:rPr>
          <w:rFonts w:ascii="Arial" w:eastAsia="Arial" w:hAnsi="Arial" w:cs="Arial"/>
          <w:sz w:val="22"/>
          <w:szCs w:val="22"/>
        </w:rPr>
        <w:t xml:space="preserve">BASTIDE, Roger. </w:t>
      </w:r>
      <w:r w:rsidRPr="00613037">
        <w:rPr>
          <w:rFonts w:ascii="Arial" w:eastAsia="Arial" w:hAnsi="Arial" w:cs="Arial"/>
          <w:b/>
          <w:sz w:val="22"/>
          <w:szCs w:val="22"/>
        </w:rPr>
        <w:t xml:space="preserve">O </w:t>
      </w:r>
      <w:proofErr w:type="spellStart"/>
      <w:r w:rsidRPr="00613037">
        <w:rPr>
          <w:rFonts w:ascii="Arial" w:eastAsia="Arial" w:hAnsi="Arial" w:cs="Arial"/>
          <w:b/>
          <w:sz w:val="22"/>
          <w:szCs w:val="22"/>
        </w:rPr>
        <w:t>Candoblé</w:t>
      </w:r>
      <w:proofErr w:type="spellEnd"/>
      <w:r w:rsidRPr="00613037">
        <w:rPr>
          <w:rFonts w:ascii="Arial" w:eastAsia="Arial" w:hAnsi="Arial" w:cs="Arial"/>
          <w:b/>
          <w:sz w:val="22"/>
          <w:szCs w:val="22"/>
        </w:rPr>
        <w:t xml:space="preserve"> da Bahia</w:t>
      </w:r>
      <w:r w:rsidRPr="00613037">
        <w:rPr>
          <w:rFonts w:ascii="Arial" w:eastAsia="Arial" w:hAnsi="Arial" w:cs="Arial"/>
          <w:sz w:val="22"/>
          <w:szCs w:val="22"/>
        </w:rPr>
        <w:t xml:space="preserve">. São Paulo: Companhia das Letras, 2001. </w:t>
      </w:r>
    </w:p>
    <w:p w14:paraId="7A61BFE7" w14:textId="77777777" w:rsidR="005E25EB" w:rsidRPr="00613037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eastAsia="Arial" w:hAnsi="Arial" w:cs="Arial"/>
          <w:sz w:val="22"/>
          <w:szCs w:val="22"/>
        </w:rPr>
      </w:pPr>
    </w:p>
    <w:p w14:paraId="130BFF7A" w14:textId="77777777" w:rsidR="005E25EB" w:rsidRPr="00613037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eastAsia="Arial" w:hAnsi="Arial" w:cs="Arial"/>
          <w:sz w:val="22"/>
          <w:szCs w:val="22"/>
        </w:rPr>
      </w:pPr>
      <w:r w:rsidRPr="00613037">
        <w:rPr>
          <w:rFonts w:ascii="Arial" w:eastAsia="Arial" w:hAnsi="Arial" w:cs="Arial"/>
          <w:sz w:val="22"/>
          <w:szCs w:val="22"/>
        </w:rPr>
        <w:t xml:space="preserve">BASTIDE, Roger. </w:t>
      </w:r>
      <w:r w:rsidRPr="00613037">
        <w:rPr>
          <w:rFonts w:ascii="Arial" w:eastAsia="Arial" w:hAnsi="Arial" w:cs="Arial"/>
          <w:b/>
          <w:sz w:val="22"/>
          <w:szCs w:val="22"/>
        </w:rPr>
        <w:t>As religiões africanas no Brasil</w:t>
      </w:r>
      <w:r w:rsidRPr="00613037">
        <w:rPr>
          <w:rFonts w:ascii="Arial" w:eastAsia="Arial" w:hAnsi="Arial" w:cs="Arial"/>
          <w:sz w:val="22"/>
          <w:szCs w:val="22"/>
        </w:rPr>
        <w:t>. São Paulo: Livraria Pioneira, 1989.</w:t>
      </w:r>
    </w:p>
    <w:p w14:paraId="6CABB3E7" w14:textId="77777777" w:rsidR="001A352C" w:rsidRPr="00613037" w:rsidRDefault="001A352C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eastAsia="Arial" w:hAnsi="Arial" w:cs="Arial"/>
          <w:sz w:val="22"/>
          <w:szCs w:val="22"/>
        </w:rPr>
      </w:pPr>
    </w:p>
    <w:p w14:paraId="4E5496DA" w14:textId="27B6E825" w:rsidR="005E25EB" w:rsidRPr="00613037" w:rsidRDefault="001A352C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eastAsia="Arial" w:hAnsi="Arial" w:cs="Arial"/>
          <w:sz w:val="22"/>
          <w:szCs w:val="22"/>
        </w:rPr>
      </w:pPr>
      <w:proofErr w:type="gramStart"/>
      <w:r w:rsidRPr="00613037">
        <w:rPr>
          <w:rFonts w:ascii="Arial" w:eastAsia="Arial" w:hAnsi="Arial" w:cs="Arial"/>
          <w:sz w:val="22"/>
          <w:szCs w:val="22"/>
        </w:rPr>
        <w:t>BARROS ,</w:t>
      </w:r>
      <w:proofErr w:type="gramEnd"/>
      <w:r w:rsidRPr="00613037">
        <w:rPr>
          <w:rFonts w:ascii="Arial" w:eastAsia="Arial" w:hAnsi="Arial" w:cs="Arial"/>
          <w:sz w:val="22"/>
          <w:szCs w:val="22"/>
        </w:rPr>
        <w:t xml:space="preserve"> José Flávio Pessoa; NAPOLEÃO, Eduardo. </w:t>
      </w:r>
      <w:proofErr w:type="spellStart"/>
      <w:r w:rsidRPr="00613037">
        <w:rPr>
          <w:rFonts w:ascii="Arial" w:eastAsia="Arial" w:hAnsi="Arial" w:cs="Arial"/>
          <w:sz w:val="22"/>
          <w:szCs w:val="22"/>
        </w:rPr>
        <w:t>Ewé</w:t>
      </w:r>
      <w:proofErr w:type="spellEnd"/>
      <w:r w:rsidRPr="0061303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613037">
        <w:rPr>
          <w:rFonts w:ascii="Arial" w:eastAsia="Arial" w:hAnsi="Arial" w:cs="Arial"/>
          <w:sz w:val="22"/>
          <w:szCs w:val="22"/>
        </w:rPr>
        <w:t>Òrìsà</w:t>
      </w:r>
      <w:proofErr w:type="spellEnd"/>
      <w:r w:rsidRPr="00613037">
        <w:rPr>
          <w:rFonts w:ascii="Arial" w:eastAsia="Arial" w:hAnsi="Arial" w:cs="Arial"/>
          <w:sz w:val="22"/>
          <w:szCs w:val="22"/>
        </w:rPr>
        <w:t xml:space="preserve"> - Uso litúrgico e terapêutico dos vegetais nas casas de Candomblé </w:t>
      </w:r>
      <w:proofErr w:type="spellStart"/>
      <w:r w:rsidRPr="00613037">
        <w:rPr>
          <w:rFonts w:ascii="Arial" w:eastAsia="Arial" w:hAnsi="Arial" w:cs="Arial"/>
          <w:sz w:val="22"/>
          <w:szCs w:val="22"/>
        </w:rPr>
        <w:t>Jêje-Nagô</w:t>
      </w:r>
      <w:proofErr w:type="spellEnd"/>
      <w:r w:rsidRPr="00613037">
        <w:rPr>
          <w:rFonts w:ascii="Arial" w:eastAsia="Arial" w:hAnsi="Arial" w:cs="Arial"/>
          <w:sz w:val="22"/>
          <w:szCs w:val="22"/>
        </w:rPr>
        <w:t>. Rio de Janeiro: Bertrand. 2000</w:t>
      </w:r>
    </w:p>
    <w:p w14:paraId="79528FBA" w14:textId="77777777" w:rsidR="001A352C" w:rsidRPr="00613037" w:rsidRDefault="001A352C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eastAsia="Arial" w:hAnsi="Arial" w:cs="Arial"/>
          <w:sz w:val="22"/>
          <w:szCs w:val="22"/>
        </w:rPr>
      </w:pPr>
    </w:p>
    <w:p w14:paraId="1E2C177E" w14:textId="77777777" w:rsidR="005E25EB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eastAsia="Arial" w:hAnsi="Arial" w:cs="Arial"/>
          <w:sz w:val="22"/>
          <w:szCs w:val="22"/>
        </w:rPr>
      </w:pPr>
      <w:r w:rsidRPr="00613037">
        <w:rPr>
          <w:rFonts w:ascii="Arial" w:eastAsia="Arial" w:hAnsi="Arial" w:cs="Arial"/>
          <w:sz w:val="22"/>
          <w:szCs w:val="22"/>
        </w:rPr>
        <w:t xml:space="preserve">BARROS, Sulivan Charles. Geografia e Territorialidades na Umbanda: Usos e Apropriações dos espaços Urbanos. </w:t>
      </w:r>
      <w:r w:rsidRPr="00613037">
        <w:rPr>
          <w:rFonts w:ascii="Arial" w:eastAsia="Arial" w:hAnsi="Arial" w:cs="Arial"/>
          <w:b/>
          <w:sz w:val="22"/>
          <w:szCs w:val="22"/>
        </w:rPr>
        <w:t>A RA’E GA – O Espaço Geográfico em Análise</w:t>
      </w:r>
      <w:r w:rsidRPr="00613037">
        <w:rPr>
          <w:rFonts w:ascii="Arial" w:eastAsia="Arial" w:hAnsi="Arial" w:cs="Arial"/>
          <w:sz w:val="22"/>
          <w:szCs w:val="22"/>
        </w:rPr>
        <w:t>. n. 16, p. 55-64, 2008. Disponível em:</w:t>
      </w:r>
      <w:r w:rsidRPr="00613037"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hyperlink r:id="rId15" w:history="1">
        <w:r w:rsidRPr="00613037">
          <w:rPr>
            <w:rStyle w:val="Hyperlink"/>
            <w:rFonts w:ascii="Arial" w:eastAsia="Arial" w:hAnsi="Arial" w:cs="Arial"/>
            <w:color w:val="0070C0"/>
            <w:sz w:val="22"/>
            <w:szCs w:val="22"/>
          </w:rPr>
          <w:t>https://revistas.ufpr.br/raega/article/download/12678/9916</w:t>
        </w:r>
      </w:hyperlink>
      <w:r w:rsidRPr="00613037">
        <w:rPr>
          <w:rFonts w:ascii="Arial" w:eastAsia="Arial" w:hAnsi="Arial" w:cs="Arial"/>
          <w:sz w:val="22"/>
          <w:szCs w:val="22"/>
        </w:rPr>
        <w:t>. Acesso em: 27 jan. De 2025.</w:t>
      </w:r>
    </w:p>
    <w:p w14:paraId="62E0E07C" w14:textId="77777777" w:rsidR="00C60C11" w:rsidRPr="00613037" w:rsidRDefault="00C60C11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eastAsia="Arial" w:hAnsi="Arial" w:cs="Arial"/>
          <w:sz w:val="22"/>
          <w:szCs w:val="22"/>
        </w:rPr>
      </w:pPr>
    </w:p>
    <w:p w14:paraId="3604B2D9" w14:textId="77777777" w:rsidR="00C60C11" w:rsidRPr="00613037" w:rsidRDefault="00C60C11" w:rsidP="00C60C11">
      <w:pPr>
        <w:rPr>
          <w:rFonts w:ascii="Arial" w:hAnsi="Arial" w:cs="Arial"/>
        </w:rPr>
      </w:pPr>
      <w:r w:rsidRPr="00613037">
        <w:rPr>
          <w:rFonts w:ascii="Arial" w:hAnsi="Arial" w:cs="Arial"/>
        </w:rPr>
        <w:t xml:space="preserve">DOURADO, Odete. Antigas falas, novas aparências: o tombamento do Ilê Axé </w:t>
      </w:r>
      <w:proofErr w:type="spellStart"/>
      <w:r w:rsidRPr="00613037">
        <w:rPr>
          <w:rFonts w:ascii="Arial" w:hAnsi="Arial" w:cs="Arial"/>
        </w:rPr>
        <w:t>Iyá</w:t>
      </w:r>
      <w:proofErr w:type="spellEnd"/>
      <w:r w:rsidRPr="00613037">
        <w:rPr>
          <w:rFonts w:ascii="Arial" w:hAnsi="Arial" w:cs="Arial"/>
        </w:rPr>
        <w:t xml:space="preserve"> Nassô </w:t>
      </w:r>
      <w:proofErr w:type="spellStart"/>
      <w:r w:rsidRPr="00613037">
        <w:rPr>
          <w:rFonts w:ascii="Arial" w:hAnsi="Arial" w:cs="Arial"/>
        </w:rPr>
        <w:t>Oká</w:t>
      </w:r>
      <w:proofErr w:type="spellEnd"/>
      <w:r w:rsidRPr="00613037">
        <w:rPr>
          <w:rFonts w:ascii="Arial" w:hAnsi="Arial" w:cs="Arial"/>
        </w:rPr>
        <w:t xml:space="preserve"> e a preservação dos bens patrimoniais no Brasil. RISCO - Revista de pesquisa em arquitetura e urbanismo. v. 14, p. 6-19, 2011. Disponível em: &lt;https://www.revistas.usp.br/risco/article/download/45501/49110/54308&gt; Acesso em: 10 nov. 2025.</w:t>
      </w:r>
    </w:p>
    <w:p w14:paraId="1C8DFEA3" w14:textId="77777777" w:rsidR="005E25EB" w:rsidRPr="00613037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eastAsia="Arial" w:hAnsi="Arial" w:cs="Arial"/>
          <w:sz w:val="22"/>
          <w:szCs w:val="22"/>
        </w:rPr>
      </w:pPr>
    </w:p>
    <w:p w14:paraId="0E6E8018" w14:textId="77777777" w:rsidR="005E25EB" w:rsidRPr="00613037" w:rsidRDefault="005E25EB" w:rsidP="00BC2EED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00613037">
        <w:rPr>
          <w:rFonts w:ascii="Arial" w:eastAsia="Arial" w:hAnsi="Arial" w:cs="Arial"/>
          <w:sz w:val="22"/>
          <w:szCs w:val="22"/>
        </w:rPr>
        <w:t xml:space="preserve">DUARTE, Denise Helena Silva. </w:t>
      </w:r>
      <w:r w:rsidRPr="00613037">
        <w:rPr>
          <w:rFonts w:ascii="Arial" w:hAnsi="Arial" w:cs="Arial"/>
          <w:b/>
          <w:bCs/>
          <w:sz w:val="22"/>
          <w:szCs w:val="22"/>
        </w:rPr>
        <w:t>Oásis Urbanos: o papel da Arquitetura e Urbanismo na adaptação ao aquecimento nas cidades</w:t>
      </w:r>
      <w:r w:rsidRPr="00613037">
        <w:rPr>
          <w:rFonts w:ascii="Arial" w:eastAsia="Arial" w:hAnsi="Arial" w:cs="Arial"/>
          <w:sz w:val="22"/>
          <w:szCs w:val="22"/>
        </w:rPr>
        <w:t xml:space="preserve">. </w:t>
      </w:r>
      <w:r w:rsidRPr="00613037">
        <w:rPr>
          <w:rFonts w:ascii="Arial" w:hAnsi="Arial" w:cs="Arial"/>
          <w:sz w:val="22"/>
          <w:szCs w:val="22"/>
        </w:rPr>
        <w:t>Móbile – Revista do CAU SP</w:t>
      </w:r>
      <w:r w:rsidRPr="00613037">
        <w:rPr>
          <w:rFonts w:ascii="Arial" w:eastAsia="Arial" w:hAnsi="Arial" w:cs="Arial"/>
          <w:sz w:val="22"/>
          <w:szCs w:val="22"/>
        </w:rPr>
        <w:t xml:space="preserve">, </w:t>
      </w:r>
      <w:r w:rsidRPr="00613037">
        <w:rPr>
          <w:rFonts w:ascii="Arial" w:hAnsi="Arial" w:cs="Arial"/>
          <w:sz w:val="22"/>
          <w:szCs w:val="22"/>
        </w:rPr>
        <w:t>v. 19, p. 20 – 20.</w:t>
      </w:r>
      <w:r w:rsidRPr="00613037">
        <w:rPr>
          <w:rFonts w:ascii="Arial" w:eastAsia="Arial" w:hAnsi="Arial" w:cs="Arial"/>
          <w:sz w:val="22"/>
          <w:szCs w:val="22"/>
        </w:rPr>
        <w:t xml:space="preserve">, out/dez. 2019. Disponível em: </w:t>
      </w:r>
      <w:hyperlink r:id="rId16" w:history="1">
        <w:proofErr w:type="spellStart"/>
        <w:r w:rsidRPr="00613037">
          <w:rPr>
            <w:rStyle w:val="Hyperlink"/>
            <w:rFonts w:ascii="Arial" w:eastAsia="Arial" w:hAnsi="Arial" w:cs="Arial"/>
            <w:color w:val="0070C0"/>
            <w:sz w:val="22"/>
            <w:szCs w:val="22"/>
          </w:rPr>
          <w:t>ReP</w:t>
        </w:r>
        <w:proofErr w:type="spellEnd"/>
        <w:r w:rsidRPr="00613037">
          <w:rPr>
            <w:rStyle w:val="Hyperlink"/>
            <w:rFonts w:ascii="Arial" w:eastAsia="Arial" w:hAnsi="Arial" w:cs="Arial"/>
            <w:color w:val="0070C0"/>
            <w:sz w:val="22"/>
            <w:szCs w:val="22"/>
          </w:rPr>
          <w:t xml:space="preserve"> USP - Detalhe do registro: Oásis urbano: o papel da arquitetura e urbanismo na adaptação ao aquecimento nas cidades</w:t>
        </w:r>
      </w:hyperlink>
      <w:r w:rsidRPr="00613037">
        <w:rPr>
          <w:rFonts w:ascii="Arial" w:eastAsia="Arial" w:hAnsi="Arial" w:cs="Arial"/>
          <w:sz w:val="22"/>
          <w:szCs w:val="22"/>
        </w:rPr>
        <w:t xml:space="preserve"> ISSN: </w:t>
      </w:r>
      <w:hyperlink r:id="rId17" w:history="1">
        <w:r w:rsidRPr="00613037">
          <w:rPr>
            <w:rStyle w:val="Hyperlink"/>
            <w:rFonts w:ascii="Arial" w:eastAsia="Arial" w:hAnsi="Arial" w:cs="Arial"/>
            <w:color w:val="0070C0"/>
            <w:sz w:val="22"/>
            <w:szCs w:val="22"/>
          </w:rPr>
          <w:t>2448-3885</w:t>
        </w:r>
      </w:hyperlink>
      <w:r w:rsidRPr="00613037">
        <w:rPr>
          <w:rFonts w:ascii="Arial" w:eastAsia="Arial" w:hAnsi="Arial" w:cs="Arial"/>
          <w:sz w:val="22"/>
          <w:szCs w:val="22"/>
        </w:rPr>
        <w:t xml:space="preserve"> Acesso em: 18 out. 2024.</w:t>
      </w:r>
    </w:p>
    <w:p w14:paraId="4034DA22" w14:textId="77777777" w:rsidR="005E25EB" w:rsidRPr="00613037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eastAsia="Arial" w:hAnsi="Arial" w:cs="Arial"/>
          <w:sz w:val="22"/>
          <w:szCs w:val="22"/>
        </w:rPr>
      </w:pPr>
    </w:p>
    <w:p w14:paraId="46A113C8" w14:textId="77777777" w:rsidR="005E25EB" w:rsidRPr="00613037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eastAsia="Arial" w:hAnsi="Arial" w:cs="Arial"/>
          <w:sz w:val="22"/>
          <w:szCs w:val="22"/>
        </w:rPr>
      </w:pPr>
      <w:r w:rsidRPr="00613037">
        <w:rPr>
          <w:rFonts w:ascii="Arial" w:eastAsia="Arial" w:hAnsi="Arial" w:cs="Arial"/>
          <w:sz w:val="22"/>
          <w:szCs w:val="22"/>
        </w:rPr>
        <w:t xml:space="preserve">GARTLAND, Lisa. </w:t>
      </w:r>
      <w:r w:rsidRPr="00613037">
        <w:rPr>
          <w:rFonts w:ascii="Arial" w:hAnsi="Arial" w:cs="Arial"/>
          <w:b/>
          <w:bCs/>
          <w:sz w:val="22"/>
          <w:szCs w:val="22"/>
        </w:rPr>
        <w:t>Ilhas De Calor - Como Mitigar Zonas De Calor: EM AREAS URBANAS</w:t>
      </w:r>
      <w:r w:rsidRPr="00613037">
        <w:rPr>
          <w:rFonts w:ascii="Arial" w:eastAsia="Arial" w:hAnsi="Arial" w:cs="Arial"/>
          <w:sz w:val="22"/>
          <w:szCs w:val="22"/>
        </w:rPr>
        <w:t>. Tradução de SILVIA Helena Gonçalves. São Paulo: Oficina de Textos, 2010.</w:t>
      </w:r>
    </w:p>
    <w:p w14:paraId="2C80B9CC" w14:textId="77777777" w:rsidR="005E25EB" w:rsidRPr="00613037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hAnsi="Arial" w:cs="Arial"/>
          <w:sz w:val="22"/>
          <w:szCs w:val="22"/>
        </w:rPr>
      </w:pPr>
    </w:p>
    <w:p w14:paraId="61648E4A" w14:textId="77777777" w:rsidR="005E25EB" w:rsidRPr="00613037" w:rsidRDefault="005E25EB" w:rsidP="00BC2EED">
      <w:pPr>
        <w:ind w:right="4"/>
        <w:rPr>
          <w:rFonts w:ascii="Arial" w:hAnsi="Arial" w:cs="Arial"/>
          <w:sz w:val="22"/>
          <w:szCs w:val="22"/>
        </w:rPr>
      </w:pPr>
      <w:r w:rsidRPr="00613037">
        <w:rPr>
          <w:rFonts w:ascii="Arial" w:hAnsi="Arial" w:cs="Arial"/>
          <w:sz w:val="22"/>
          <w:szCs w:val="22"/>
        </w:rPr>
        <w:t xml:space="preserve">LEFEBVRE, Henri. </w:t>
      </w:r>
      <w:r w:rsidRPr="00613037">
        <w:rPr>
          <w:rFonts w:ascii="Arial" w:eastAsia="Arial" w:hAnsi="Arial" w:cs="Arial"/>
          <w:b/>
          <w:sz w:val="22"/>
          <w:szCs w:val="22"/>
        </w:rPr>
        <w:t xml:space="preserve">O direito à cidade. </w:t>
      </w:r>
      <w:r w:rsidRPr="00613037">
        <w:rPr>
          <w:rFonts w:ascii="Arial" w:hAnsi="Arial" w:cs="Arial"/>
          <w:sz w:val="22"/>
          <w:szCs w:val="22"/>
        </w:rPr>
        <w:t>São Paulo: Centauro, 2001.</w:t>
      </w:r>
    </w:p>
    <w:p w14:paraId="69B39C26" w14:textId="77777777" w:rsidR="005E25EB" w:rsidRPr="00613037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eastAsia="Arial" w:hAnsi="Arial" w:cs="Arial"/>
          <w:sz w:val="22"/>
          <w:szCs w:val="22"/>
        </w:rPr>
      </w:pPr>
    </w:p>
    <w:p w14:paraId="2A7A53E5" w14:textId="77777777" w:rsidR="005E25EB" w:rsidRPr="00613037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hAnsi="Arial" w:cs="Arial"/>
          <w:sz w:val="22"/>
          <w:szCs w:val="22"/>
        </w:rPr>
      </w:pPr>
      <w:r w:rsidRPr="00613037">
        <w:rPr>
          <w:rFonts w:ascii="Arial" w:hAnsi="Arial" w:cs="Arial"/>
          <w:sz w:val="22"/>
          <w:szCs w:val="22"/>
        </w:rPr>
        <w:t xml:space="preserve">MINISTÉRIO DA JUSTIÇA E DA CIDADANIA. </w:t>
      </w:r>
      <w:r w:rsidRPr="00613037">
        <w:rPr>
          <w:rFonts w:ascii="Arial" w:hAnsi="Arial" w:cs="Arial"/>
          <w:b/>
          <w:sz w:val="22"/>
          <w:szCs w:val="22"/>
        </w:rPr>
        <w:t xml:space="preserve">Guia Orientador para Mapeamentos junto aos Povos e Comunidades Tradicionais de Matriz </w:t>
      </w:r>
      <w:r w:rsidRPr="00613037">
        <w:rPr>
          <w:rFonts w:ascii="Arial" w:hAnsi="Arial" w:cs="Arial"/>
          <w:sz w:val="22"/>
          <w:szCs w:val="22"/>
        </w:rPr>
        <w:t xml:space="preserve">Africana. Secretaria Especial de Políticas de Promoção da Igualdade Racial. Secretaria de Políticas para Comunidades Tradicionais. 2016. </w:t>
      </w:r>
      <w:proofErr w:type="spellStart"/>
      <w:r w:rsidRPr="00613037">
        <w:rPr>
          <w:rFonts w:ascii="Arial" w:hAnsi="Arial" w:cs="Arial"/>
          <w:sz w:val="22"/>
          <w:szCs w:val="22"/>
        </w:rPr>
        <w:t>Disponóvel</w:t>
      </w:r>
      <w:proofErr w:type="spellEnd"/>
      <w:r w:rsidRPr="00613037">
        <w:rPr>
          <w:rFonts w:ascii="Arial" w:hAnsi="Arial" w:cs="Arial"/>
          <w:sz w:val="22"/>
          <w:szCs w:val="22"/>
        </w:rPr>
        <w:t xml:space="preserve"> em: </w:t>
      </w:r>
      <w:hyperlink r:id="rId18" w:history="1">
        <w:r w:rsidRPr="00613037">
          <w:rPr>
            <w:rStyle w:val="Hyperlink"/>
            <w:rFonts w:ascii="Arial" w:eastAsiaTheme="majorEastAsia" w:hAnsi="Arial" w:cs="Arial"/>
            <w:color w:val="0070C0"/>
            <w:sz w:val="22"/>
            <w:szCs w:val="22"/>
          </w:rPr>
          <w:t>https://www.mpba.mp.br/sites/default/files/biblioteca/direitos-</w:t>
        </w:r>
        <w:r w:rsidRPr="00613037">
          <w:rPr>
            <w:rStyle w:val="Hyperlink"/>
            <w:rFonts w:ascii="Arial" w:eastAsiaTheme="majorEastAsia" w:hAnsi="Arial" w:cs="Arial"/>
            <w:color w:val="0070C0"/>
            <w:sz w:val="22"/>
            <w:szCs w:val="22"/>
          </w:rPr>
          <w:lastRenderedPageBreak/>
          <w:t>humanos/combate_a_intolerancia_religiosa_e_laicidade_do_estado/guia.pdf</w:t>
        </w:r>
      </w:hyperlink>
      <w:r w:rsidRPr="00613037">
        <w:rPr>
          <w:rFonts w:ascii="Arial" w:hAnsi="Arial" w:cs="Arial"/>
          <w:sz w:val="22"/>
          <w:szCs w:val="22"/>
        </w:rPr>
        <w:t>. Acesso em: 21 jan. 2025.</w:t>
      </w:r>
    </w:p>
    <w:p w14:paraId="31F135DC" w14:textId="77777777" w:rsidR="005E25EB" w:rsidRPr="00613037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hAnsi="Arial" w:cs="Arial"/>
          <w:sz w:val="22"/>
          <w:szCs w:val="22"/>
        </w:rPr>
      </w:pPr>
    </w:p>
    <w:p w14:paraId="0DABFF35" w14:textId="77777777" w:rsidR="005E25EB" w:rsidRPr="00613037" w:rsidRDefault="005E25EB" w:rsidP="00BC2EED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00613037">
        <w:rPr>
          <w:rFonts w:ascii="Arial" w:eastAsia="Arial" w:hAnsi="Arial" w:cs="Arial"/>
          <w:sz w:val="22"/>
          <w:szCs w:val="22"/>
          <w:lang w:val="en-US"/>
        </w:rPr>
        <w:t xml:space="preserve">POSEY, Darrell A. </w:t>
      </w:r>
      <w:r w:rsidRPr="00613037">
        <w:rPr>
          <w:rFonts w:ascii="Arial" w:hAnsi="Arial" w:cs="Arial"/>
          <w:b/>
          <w:bCs/>
          <w:sz w:val="22"/>
          <w:szCs w:val="22"/>
          <w:lang w:val="en-US"/>
        </w:rPr>
        <w:t>Commodification of the sacred through intellectual property rights.</w:t>
      </w:r>
      <w:r w:rsidRPr="00613037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0613037">
        <w:rPr>
          <w:rFonts w:ascii="Arial" w:hAnsi="Arial" w:cs="Arial"/>
          <w:sz w:val="22"/>
          <w:szCs w:val="22"/>
        </w:rPr>
        <w:t>Journal</w:t>
      </w:r>
      <w:proofErr w:type="spellEnd"/>
      <w:r w:rsidRPr="00613037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613037">
        <w:rPr>
          <w:rFonts w:ascii="Arial" w:hAnsi="Arial" w:cs="Arial"/>
          <w:sz w:val="22"/>
          <w:szCs w:val="22"/>
        </w:rPr>
        <w:t>of</w:t>
      </w:r>
      <w:proofErr w:type="spellEnd"/>
      <w:r w:rsidRPr="006130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037">
        <w:rPr>
          <w:rFonts w:ascii="Arial" w:hAnsi="Arial" w:cs="Arial"/>
          <w:sz w:val="22"/>
          <w:szCs w:val="22"/>
        </w:rPr>
        <w:t>Ethnopharmacology</w:t>
      </w:r>
      <w:proofErr w:type="spellEnd"/>
      <w:r w:rsidRPr="00613037">
        <w:rPr>
          <w:rFonts w:ascii="Arial" w:hAnsi="Arial" w:cs="Arial"/>
          <w:sz w:val="22"/>
          <w:szCs w:val="22"/>
        </w:rPr>
        <w:t>, vol. 83, no. 1–2, p. 3–</w:t>
      </w:r>
      <w:proofErr w:type="gramStart"/>
      <w:r w:rsidRPr="00613037">
        <w:rPr>
          <w:rFonts w:ascii="Arial" w:hAnsi="Arial" w:cs="Arial"/>
          <w:sz w:val="22"/>
          <w:szCs w:val="22"/>
        </w:rPr>
        <w:t>12./</w:t>
      </w:r>
      <w:proofErr w:type="gramEnd"/>
      <w:r w:rsidRPr="00613037">
        <w:rPr>
          <w:rFonts w:ascii="Arial" w:hAnsi="Arial" w:cs="Arial"/>
          <w:sz w:val="22"/>
          <w:szCs w:val="22"/>
        </w:rPr>
        <w:t xml:space="preserve"> </w:t>
      </w:r>
      <w:r w:rsidRPr="00613037">
        <w:rPr>
          <w:rFonts w:ascii="Arial" w:eastAsia="Arial" w:hAnsi="Arial" w:cs="Arial"/>
          <w:sz w:val="22"/>
          <w:szCs w:val="22"/>
        </w:rPr>
        <w:t xml:space="preserve">nov. 2002. Disponível em: </w:t>
      </w:r>
      <w:hyperlink r:id="rId19" w:history="1">
        <w:r w:rsidRPr="00613037">
          <w:rPr>
            <w:rStyle w:val="Hyperlink"/>
            <w:rFonts w:ascii="Arial" w:eastAsiaTheme="majorEastAsia" w:hAnsi="Arial" w:cs="Arial"/>
            <w:color w:val="0070C0"/>
            <w:sz w:val="22"/>
            <w:szCs w:val="22"/>
          </w:rPr>
          <w:t>https://doi.org/10.1016/S0378-8741(02)00189-7</w:t>
        </w:r>
      </w:hyperlink>
      <w:r w:rsidRPr="00613037">
        <w:rPr>
          <w:rFonts w:ascii="Arial" w:hAnsi="Arial" w:cs="Arial"/>
          <w:sz w:val="22"/>
          <w:szCs w:val="22"/>
        </w:rPr>
        <w:t>.</w:t>
      </w:r>
      <w:r w:rsidRPr="00613037">
        <w:rPr>
          <w:rFonts w:ascii="Arial" w:eastAsia="Arial" w:hAnsi="Arial" w:cs="Arial"/>
          <w:sz w:val="22"/>
          <w:szCs w:val="22"/>
        </w:rPr>
        <w:t xml:space="preserve"> Acesso em: 22 nov. 2024.</w:t>
      </w:r>
    </w:p>
    <w:p w14:paraId="1A6A5645" w14:textId="77777777" w:rsidR="005E25EB" w:rsidRPr="00613037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hAnsi="Arial" w:cs="Arial"/>
          <w:sz w:val="22"/>
          <w:szCs w:val="22"/>
        </w:rPr>
      </w:pPr>
    </w:p>
    <w:p w14:paraId="7C7C4983" w14:textId="05093E34" w:rsidR="005E25EB" w:rsidRPr="00613037" w:rsidRDefault="005E25EB" w:rsidP="00BC2EED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00613037">
        <w:rPr>
          <w:rFonts w:ascii="Arial" w:eastAsia="Arial" w:hAnsi="Arial" w:cs="Arial"/>
          <w:sz w:val="22"/>
          <w:szCs w:val="22"/>
        </w:rPr>
        <w:t xml:space="preserve">RÊGO, Jussara. </w:t>
      </w:r>
      <w:r w:rsidRPr="00613037">
        <w:rPr>
          <w:rFonts w:ascii="Arial" w:hAnsi="Arial" w:cs="Arial"/>
          <w:b/>
          <w:bCs/>
          <w:sz w:val="22"/>
          <w:szCs w:val="22"/>
        </w:rPr>
        <w:t>Territórios do candomblé: a desterritorialização dos terreiros na Região Metropolitana de Salvador, Bahia</w:t>
      </w:r>
      <w:r w:rsidRPr="00613037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613037">
        <w:rPr>
          <w:rFonts w:ascii="Arial" w:hAnsi="Arial" w:cs="Arial"/>
          <w:sz w:val="22"/>
          <w:szCs w:val="22"/>
        </w:rPr>
        <w:t>GeoTextos</w:t>
      </w:r>
      <w:proofErr w:type="spellEnd"/>
      <w:r w:rsidRPr="00613037">
        <w:rPr>
          <w:rFonts w:ascii="Arial" w:hAnsi="Arial" w:cs="Arial"/>
          <w:sz w:val="22"/>
          <w:szCs w:val="22"/>
        </w:rPr>
        <w:t>, vol. 2, n. 2. 31-85.</w:t>
      </w:r>
      <w:r w:rsidRPr="00613037">
        <w:rPr>
          <w:rFonts w:ascii="Arial" w:eastAsia="Arial" w:hAnsi="Arial" w:cs="Arial"/>
          <w:sz w:val="22"/>
          <w:szCs w:val="22"/>
        </w:rPr>
        <w:t xml:space="preserve">, </w:t>
      </w:r>
      <w:proofErr w:type="gramStart"/>
      <w:r w:rsidRPr="00613037">
        <w:rPr>
          <w:rFonts w:ascii="Arial" w:eastAsia="Arial" w:hAnsi="Arial" w:cs="Arial"/>
          <w:sz w:val="22"/>
          <w:szCs w:val="22"/>
        </w:rPr>
        <w:t>Set.</w:t>
      </w:r>
      <w:proofErr w:type="gramEnd"/>
      <w:r w:rsidRPr="00613037">
        <w:rPr>
          <w:rFonts w:ascii="Arial" w:eastAsia="Arial" w:hAnsi="Arial" w:cs="Arial"/>
          <w:sz w:val="22"/>
          <w:szCs w:val="22"/>
        </w:rPr>
        <w:t xml:space="preserve"> 2008. Disponível em: </w:t>
      </w:r>
      <w:hyperlink r:id="rId20" w:history="1">
        <w:r w:rsidRPr="00613037">
          <w:rPr>
            <w:rFonts w:ascii="Arial" w:hAnsi="Arial" w:cs="Arial"/>
            <w:color w:val="0070C0"/>
            <w:sz w:val="22"/>
            <w:szCs w:val="22"/>
            <w:u w:val="single"/>
          </w:rPr>
          <w:t xml:space="preserve">Territórios do candomblé | </w:t>
        </w:r>
        <w:proofErr w:type="spellStart"/>
        <w:r w:rsidRPr="00613037">
          <w:rPr>
            <w:rFonts w:ascii="Arial" w:hAnsi="Arial" w:cs="Arial"/>
            <w:color w:val="0070C0"/>
            <w:sz w:val="22"/>
            <w:szCs w:val="22"/>
            <w:u w:val="single"/>
          </w:rPr>
          <w:t>GeoTextos</w:t>
        </w:r>
        <w:proofErr w:type="spellEnd"/>
      </w:hyperlink>
      <w:r w:rsidR="00BC2EED" w:rsidRPr="00613037">
        <w:rPr>
          <w:rFonts w:ascii="Arial" w:hAnsi="Arial" w:cs="Arial"/>
          <w:color w:val="0070C0"/>
        </w:rPr>
        <w:t xml:space="preserve"> </w:t>
      </w:r>
      <w:r w:rsidRPr="00613037">
        <w:rPr>
          <w:rFonts w:ascii="Arial" w:eastAsia="Arial" w:hAnsi="Arial" w:cs="Arial"/>
          <w:sz w:val="22"/>
          <w:szCs w:val="22"/>
        </w:rPr>
        <w:t>DOI:</w:t>
      </w:r>
      <w:hyperlink r:id="rId21" w:tgtFrame="_blank" w:history="1">
        <w:r w:rsidRPr="00613037">
          <w:rPr>
            <w:rStyle w:val="Hyperlink"/>
            <w:rFonts w:ascii="Arial" w:eastAsia="Arial" w:hAnsi="Arial" w:cs="Arial"/>
            <w:color w:val="0070C0"/>
            <w:sz w:val="22"/>
            <w:szCs w:val="22"/>
          </w:rPr>
          <w:t>10.9771/1984-5537geo.v2i2.3038</w:t>
        </w:r>
      </w:hyperlink>
      <w:r w:rsidRPr="00613037">
        <w:rPr>
          <w:rFonts w:ascii="Arial" w:eastAsia="Arial" w:hAnsi="Arial" w:cs="Arial"/>
          <w:sz w:val="22"/>
          <w:szCs w:val="22"/>
        </w:rPr>
        <w:t xml:space="preserve">  Acesso em: 13 dez. 2024.</w:t>
      </w:r>
    </w:p>
    <w:p w14:paraId="471D2C7D" w14:textId="77777777" w:rsidR="005E25EB" w:rsidRPr="00613037" w:rsidRDefault="005E25EB" w:rsidP="00BC2EED">
      <w:pPr>
        <w:pBdr>
          <w:top w:val="nil"/>
          <w:left w:val="nil"/>
          <w:bottom w:val="nil"/>
          <w:right w:val="nil"/>
          <w:between w:val="nil"/>
        </w:pBdr>
        <w:ind w:right="4"/>
        <w:rPr>
          <w:rFonts w:ascii="Arial" w:hAnsi="Arial" w:cs="Arial"/>
          <w:sz w:val="22"/>
          <w:szCs w:val="22"/>
        </w:rPr>
      </w:pPr>
    </w:p>
    <w:sectPr w:rsidR="005E25EB" w:rsidRPr="00613037" w:rsidSect="005E25EB">
      <w:headerReference w:type="default" r:id="rId22"/>
      <w:footerReference w:type="default" r:id="rId23"/>
      <w:pgSz w:w="11910" w:h="16840"/>
      <w:pgMar w:top="1700" w:right="1133" w:bottom="1133" w:left="1700" w:header="71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9EE5" w14:textId="77777777" w:rsidR="00AA5B50" w:rsidRDefault="00AA5B50" w:rsidP="005E25EB">
      <w:r>
        <w:separator/>
      </w:r>
    </w:p>
  </w:endnote>
  <w:endnote w:type="continuationSeparator" w:id="0">
    <w:p w14:paraId="5F4B26E7" w14:textId="77777777" w:rsidR="00AA5B50" w:rsidRDefault="00AA5B50" w:rsidP="005E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4693" w14:textId="77777777" w:rsidR="00E2330E" w:rsidRDefault="00E2330E">
    <w:pPr>
      <w:ind w:left="142" w:right="2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8224" w14:textId="77777777" w:rsidR="00AA5B50" w:rsidRDefault="00AA5B50" w:rsidP="005E25EB">
      <w:r>
        <w:separator/>
      </w:r>
    </w:p>
  </w:footnote>
  <w:footnote w:type="continuationSeparator" w:id="0">
    <w:p w14:paraId="2FC82BE8" w14:textId="77777777" w:rsidR="00AA5B50" w:rsidRDefault="00AA5B50" w:rsidP="005E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D031" w14:textId="2E2B2474" w:rsidR="00F219E6" w:rsidRDefault="00F219E6">
    <w:pPr>
      <w:pStyle w:val="Cabealho"/>
    </w:pPr>
  </w:p>
  <w:p w14:paraId="16A9E07D" w14:textId="02A62683" w:rsidR="00E2330E" w:rsidRDefault="00E2330E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0313C"/>
    <w:multiLevelType w:val="multilevel"/>
    <w:tmpl w:val="02FE27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537D29"/>
    <w:multiLevelType w:val="multilevel"/>
    <w:tmpl w:val="C52CAC04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414E1D2B"/>
    <w:multiLevelType w:val="multilevel"/>
    <w:tmpl w:val="55201E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D20208"/>
    <w:multiLevelType w:val="multilevel"/>
    <w:tmpl w:val="21C84A8E"/>
    <w:lvl w:ilvl="0">
      <w:start w:val="1"/>
      <w:numFmt w:val="decimal"/>
      <w:lvlText w:val="%1"/>
      <w:lvlJc w:val="left"/>
      <w:pPr>
        <w:ind w:left="360" w:hanging="360"/>
      </w:pPr>
      <w:rPr>
        <w:rFonts w:ascii="Arial MT" w:hAnsi="Arial MT" w:cs="Arial MT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 MT" w:hAnsi="Arial MT" w:cs="Arial MT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MT" w:hAnsi="Arial MT" w:cs="Arial MT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 MT" w:hAnsi="Arial MT" w:cs="Arial MT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MT" w:hAnsi="Arial MT" w:cs="Arial MT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 MT" w:hAnsi="Arial MT" w:cs="Arial MT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MT" w:hAnsi="Arial MT" w:cs="Arial MT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 MT" w:hAnsi="Arial MT" w:cs="Arial MT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 MT" w:hAnsi="Arial MT" w:cs="Arial MT" w:hint="default"/>
      </w:rPr>
    </w:lvl>
  </w:abstractNum>
  <w:abstractNum w:abstractNumId="4" w15:restartNumberingAfterBreak="0">
    <w:nsid w:val="50365CCB"/>
    <w:multiLevelType w:val="hybridMultilevel"/>
    <w:tmpl w:val="7D0A4DF2"/>
    <w:lvl w:ilvl="0" w:tplc="BE241978">
      <w:start w:val="6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3" w:hanging="360"/>
      </w:pPr>
    </w:lvl>
    <w:lvl w:ilvl="2" w:tplc="0416001B" w:tentative="1">
      <w:start w:val="1"/>
      <w:numFmt w:val="lowerRoman"/>
      <w:lvlText w:val="%3."/>
      <w:lvlJc w:val="right"/>
      <w:pPr>
        <w:ind w:left="1943" w:hanging="180"/>
      </w:pPr>
    </w:lvl>
    <w:lvl w:ilvl="3" w:tplc="0416000F" w:tentative="1">
      <w:start w:val="1"/>
      <w:numFmt w:val="decimal"/>
      <w:lvlText w:val="%4."/>
      <w:lvlJc w:val="left"/>
      <w:pPr>
        <w:ind w:left="2663" w:hanging="360"/>
      </w:pPr>
    </w:lvl>
    <w:lvl w:ilvl="4" w:tplc="04160019" w:tentative="1">
      <w:start w:val="1"/>
      <w:numFmt w:val="lowerLetter"/>
      <w:lvlText w:val="%5."/>
      <w:lvlJc w:val="left"/>
      <w:pPr>
        <w:ind w:left="3383" w:hanging="360"/>
      </w:pPr>
    </w:lvl>
    <w:lvl w:ilvl="5" w:tplc="0416001B" w:tentative="1">
      <w:start w:val="1"/>
      <w:numFmt w:val="lowerRoman"/>
      <w:lvlText w:val="%6."/>
      <w:lvlJc w:val="right"/>
      <w:pPr>
        <w:ind w:left="4103" w:hanging="180"/>
      </w:pPr>
    </w:lvl>
    <w:lvl w:ilvl="6" w:tplc="0416000F" w:tentative="1">
      <w:start w:val="1"/>
      <w:numFmt w:val="decimal"/>
      <w:lvlText w:val="%7."/>
      <w:lvlJc w:val="left"/>
      <w:pPr>
        <w:ind w:left="4823" w:hanging="360"/>
      </w:pPr>
    </w:lvl>
    <w:lvl w:ilvl="7" w:tplc="04160019" w:tentative="1">
      <w:start w:val="1"/>
      <w:numFmt w:val="lowerLetter"/>
      <w:lvlText w:val="%8."/>
      <w:lvlJc w:val="left"/>
      <w:pPr>
        <w:ind w:left="5543" w:hanging="360"/>
      </w:pPr>
    </w:lvl>
    <w:lvl w:ilvl="8" w:tplc="04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 w15:restartNumberingAfterBreak="0">
    <w:nsid w:val="7C9C2E26"/>
    <w:multiLevelType w:val="hybridMultilevel"/>
    <w:tmpl w:val="BF92C0C2"/>
    <w:lvl w:ilvl="0" w:tplc="106EC33E">
      <w:start w:val="4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3" w:hanging="360"/>
      </w:pPr>
    </w:lvl>
    <w:lvl w:ilvl="2" w:tplc="0416001B" w:tentative="1">
      <w:start w:val="1"/>
      <w:numFmt w:val="lowerRoman"/>
      <w:lvlText w:val="%3."/>
      <w:lvlJc w:val="right"/>
      <w:pPr>
        <w:ind w:left="1943" w:hanging="180"/>
      </w:pPr>
    </w:lvl>
    <w:lvl w:ilvl="3" w:tplc="0416000F" w:tentative="1">
      <w:start w:val="1"/>
      <w:numFmt w:val="decimal"/>
      <w:lvlText w:val="%4."/>
      <w:lvlJc w:val="left"/>
      <w:pPr>
        <w:ind w:left="2663" w:hanging="360"/>
      </w:pPr>
    </w:lvl>
    <w:lvl w:ilvl="4" w:tplc="04160019" w:tentative="1">
      <w:start w:val="1"/>
      <w:numFmt w:val="lowerLetter"/>
      <w:lvlText w:val="%5."/>
      <w:lvlJc w:val="left"/>
      <w:pPr>
        <w:ind w:left="3383" w:hanging="360"/>
      </w:pPr>
    </w:lvl>
    <w:lvl w:ilvl="5" w:tplc="0416001B" w:tentative="1">
      <w:start w:val="1"/>
      <w:numFmt w:val="lowerRoman"/>
      <w:lvlText w:val="%6."/>
      <w:lvlJc w:val="right"/>
      <w:pPr>
        <w:ind w:left="4103" w:hanging="180"/>
      </w:pPr>
    </w:lvl>
    <w:lvl w:ilvl="6" w:tplc="0416000F" w:tentative="1">
      <w:start w:val="1"/>
      <w:numFmt w:val="decimal"/>
      <w:lvlText w:val="%7."/>
      <w:lvlJc w:val="left"/>
      <w:pPr>
        <w:ind w:left="4823" w:hanging="360"/>
      </w:pPr>
    </w:lvl>
    <w:lvl w:ilvl="7" w:tplc="04160019" w:tentative="1">
      <w:start w:val="1"/>
      <w:numFmt w:val="lowerLetter"/>
      <w:lvlText w:val="%8."/>
      <w:lvlJc w:val="left"/>
      <w:pPr>
        <w:ind w:left="5543" w:hanging="360"/>
      </w:pPr>
    </w:lvl>
    <w:lvl w:ilvl="8" w:tplc="04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7CEC4DE3"/>
    <w:multiLevelType w:val="hybridMultilevel"/>
    <w:tmpl w:val="996C3C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06015">
    <w:abstractNumId w:val="3"/>
  </w:num>
  <w:num w:numId="2" w16cid:durableId="1044674565">
    <w:abstractNumId w:val="6"/>
  </w:num>
  <w:num w:numId="3" w16cid:durableId="1713531775">
    <w:abstractNumId w:val="2"/>
  </w:num>
  <w:num w:numId="4" w16cid:durableId="1487084307">
    <w:abstractNumId w:val="0"/>
  </w:num>
  <w:num w:numId="5" w16cid:durableId="840974836">
    <w:abstractNumId w:val="4"/>
  </w:num>
  <w:num w:numId="6" w16cid:durableId="1634404087">
    <w:abstractNumId w:val="1"/>
  </w:num>
  <w:num w:numId="7" w16cid:durableId="1104305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EB"/>
    <w:rsid w:val="0006390C"/>
    <w:rsid w:val="00066178"/>
    <w:rsid w:val="0009450D"/>
    <w:rsid w:val="0012783F"/>
    <w:rsid w:val="0019065E"/>
    <w:rsid w:val="001A352C"/>
    <w:rsid w:val="00203B6F"/>
    <w:rsid w:val="00223A87"/>
    <w:rsid w:val="00277D1A"/>
    <w:rsid w:val="00492F1E"/>
    <w:rsid w:val="004B2E91"/>
    <w:rsid w:val="00593201"/>
    <w:rsid w:val="005C4AC5"/>
    <w:rsid w:val="005E25EB"/>
    <w:rsid w:val="005F3B04"/>
    <w:rsid w:val="00613037"/>
    <w:rsid w:val="00635482"/>
    <w:rsid w:val="007438DB"/>
    <w:rsid w:val="00804CCB"/>
    <w:rsid w:val="008F23EA"/>
    <w:rsid w:val="0092114A"/>
    <w:rsid w:val="00947A78"/>
    <w:rsid w:val="009D49F9"/>
    <w:rsid w:val="00A22787"/>
    <w:rsid w:val="00A52D54"/>
    <w:rsid w:val="00A92D9F"/>
    <w:rsid w:val="00AA5B50"/>
    <w:rsid w:val="00B05353"/>
    <w:rsid w:val="00B27D86"/>
    <w:rsid w:val="00BC2EED"/>
    <w:rsid w:val="00BE6AA6"/>
    <w:rsid w:val="00C60C11"/>
    <w:rsid w:val="00D10F0B"/>
    <w:rsid w:val="00D15AE2"/>
    <w:rsid w:val="00D15C65"/>
    <w:rsid w:val="00D5361B"/>
    <w:rsid w:val="00D647DB"/>
    <w:rsid w:val="00D77BE3"/>
    <w:rsid w:val="00E00303"/>
    <w:rsid w:val="00E2330E"/>
    <w:rsid w:val="00EE7F80"/>
    <w:rsid w:val="00F219E6"/>
    <w:rsid w:val="00F7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815BD"/>
  <w15:chartTrackingRefBased/>
  <w15:docId w15:val="{7EA5B9F0-9C19-465F-B89B-DBE5E7F3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25E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5E2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5E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5E2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2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2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25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25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25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25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2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2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2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25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25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25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25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25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25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25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2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2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2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25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E25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25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2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25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25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E25EB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5E25E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2EE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F23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3EA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F23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23EA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21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www.bahianoticias.com.br/noticia/291510-prefeitura-de-salvador-determina-desapropriacao-de-terreno-ao-lado-do-terreiro-casa-branca" TargetMode="External"/><Relationship Id="rId18" Type="http://schemas.openxmlformats.org/officeDocument/2006/relationships/hyperlink" Target="https://www.mpba.mp.br/sites/default/files/biblioteca/direitos-humanos/combate_a_intolerancia_religiosa_e_laicidade_do_estado/gui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x.doi.org/10.9771/1984-5537geo.v2i2.3038" TargetMode="External"/><Relationship Id="rId7" Type="http://schemas.openxmlformats.org/officeDocument/2006/relationships/diagramData" Target="diagrams/data1.xml"/><Relationship Id="rId12" Type="http://schemas.openxmlformats.org/officeDocument/2006/relationships/hyperlink" Target="file:///C:/Users/Eixo%20integrativo/Downloads/25590-Texto%20do%20artigo-94689-1-10-20231101.pdf" TargetMode="External"/><Relationship Id="rId17" Type="http://schemas.openxmlformats.org/officeDocument/2006/relationships/hyperlink" Target="https://repositorio.usp.br/result.php?filter%5b%5d=issn:%222448-3885%2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positorio.usp.br/item/002991335" TargetMode="External"/><Relationship Id="rId20" Type="http://schemas.openxmlformats.org/officeDocument/2006/relationships/hyperlink" Target="https://periodicos.ufba.br/index.php/geotextos/article/view/303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vistas.ufpr.br/raega/article/download/12678/9916" TargetMode="External"/><Relationship Id="rId23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hyperlink" Target="https://doi.org/10.1016/S0378-8741(02)00189-7" TargetMode="Externa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dados.salvador.ba.gov.br/datasets/terreiros-salvador/about" TargetMode="Externa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FDC88E-B7C0-46C2-A5E3-88DEA91838E3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D0295B9D-E077-4C34-BF19-2D3D4E0C67C5}">
      <dgm:prSet phldrT="[Texto]"/>
      <dgm:spPr/>
      <dgm:t>
        <a:bodyPr/>
        <a:lstStyle/>
        <a:p>
          <a:pPr algn="just"/>
          <a:r>
            <a:rPr lang="pt-BR"/>
            <a:t>Bairros: áreas verdes</a:t>
          </a:r>
        </a:p>
      </dgm:t>
    </dgm:pt>
    <dgm:pt modelId="{CC2F6279-743E-42F5-927C-C9589D46A306}" type="parTrans" cxnId="{00FF515E-AD03-4FF9-863F-D79CE6D3BA28}">
      <dgm:prSet/>
      <dgm:spPr/>
      <dgm:t>
        <a:bodyPr/>
        <a:lstStyle/>
        <a:p>
          <a:pPr algn="just"/>
          <a:endParaRPr lang="pt-BR"/>
        </a:p>
      </dgm:t>
    </dgm:pt>
    <dgm:pt modelId="{5F839A5F-0C2B-4691-A296-0447F5C99D90}" type="sibTrans" cxnId="{00FF515E-AD03-4FF9-863F-D79CE6D3BA28}">
      <dgm:prSet/>
      <dgm:spPr/>
      <dgm:t>
        <a:bodyPr/>
        <a:lstStyle/>
        <a:p>
          <a:pPr algn="just"/>
          <a:endParaRPr lang="pt-BR"/>
        </a:p>
      </dgm:t>
    </dgm:pt>
    <dgm:pt modelId="{F32EBAC4-3C5A-4BC5-B498-43DB0A2DB49D}">
      <dgm:prSet phldrT="[Texto]"/>
      <dgm:spPr/>
      <dgm:t>
        <a:bodyPr/>
        <a:lstStyle/>
        <a:p>
          <a:pPr algn="just"/>
          <a:r>
            <a:rPr lang="pt-BR"/>
            <a:t>Composição específica de fauna e flora</a:t>
          </a:r>
        </a:p>
      </dgm:t>
    </dgm:pt>
    <dgm:pt modelId="{E67E2070-3AA5-4AFB-A9C8-4B43DAB1E644}" type="parTrans" cxnId="{200F5E38-5B46-42DA-8E22-0931AE0DF66A}">
      <dgm:prSet/>
      <dgm:spPr/>
      <dgm:t>
        <a:bodyPr/>
        <a:lstStyle/>
        <a:p>
          <a:pPr algn="just"/>
          <a:endParaRPr lang="pt-BR"/>
        </a:p>
      </dgm:t>
    </dgm:pt>
    <dgm:pt modelId="{79537FEB-BEC8-4C90-A66F-FB9D6E22D48C}" type="sibTrans" cxnId="{200F5E38-5B46-42DA-8E22-0931AE0DF66A}">
      <dgm:prSet/>
      <dgm:spPr/>
      <dgm:t>
        <a:bodyPr/>
        <a:lstStyle/>
        <a:p>
          <a:pPr algn="just"/>
          <a:endParaRPr lang="pt-BR"/>
        </a:p>
      </dgm:t>
    </dgm:pt>
    <dgm:pt modelId="{61B74021-95FB-42E0-863A-B24E84C47FF5}">
      <dgm:prSet phldrT="[Texto]"/>
      <dgm:spPr/>
      <dgm:t>
        <a:bodyPr/>
        <a:lstStyle/>
        <a:p>
          <a:pPr algn="just"/>
          <a:r>
            <a:rPr lang="pt-BR"/>
            <a:t>Significado simbólico de fauna, flora e disposição de objetos sagrados</a:t>
          </a:r>
        </a:p>
      </dgm:t>
    </dgm:pt>
    <dgm:pt modelId="{E23BAAB3-3747-460F-983F-723D5FD574E8}" type="parTrans" cxnId="{4D89FBC5-C401-467C-9348-74E755B8A330}">
      <dgm:prSet/>
      <dgm:spPr/>
      <dgm:t>
        <a:bodyPr/>
        <a:lstStyle/>
        <a:p>
          <a:pPr algn="just"/>
          <a:endParaRPr lang="pt-BR"/>
        </a:p>
      </dgm:t>
    </dgm:pt>
    <dgm:pt modelId="{D6B13F71-A2B5-4A1D-B8ED-D14F0CEE027E}" type="sibTrans" cxnId="{4D89FBC5-C401-467C-9348-74E755B8A330}">
      <dgm:prSet/>
      <dgm:spPr/>
      <dgm:t>
        <a:bodyPr/>
        <a:lstStyle/>
        <a:p>
          <a:pPr algn="just"/>
          <a:endParaRPr lang="pt-BR"/>
        </a:p>
      </dgm:t>
    </dgm:pt>
    <dgm:pt modelId="{090CF0BE-AFAD-47D8-9E3C-C59E2E09A7D4}" type="pres">
      <dgm:prSet presAssocID="{85FDC88E-B7C0-46C2-A5E3-88DEA91838E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9878639-19F4-4FC3-9C42-55FB0D6F1FB2}" type="pres">
      <dgm:prSet presAssocID="{D0295B9D-E077-4C34-BF19-2D3D4E0C67C5}" presName="hierRoot1" presStyleCnt="0"/>
      <dgm:spPr/>
    </dgm:pt>
    <dgm:pt modelId="{7EEC9978-8EF3-45EB-AEC6-7959F64C2B34}" type="pres">
      <dgm:prSet presAssocID="{D0295B9D-E077-4C34-BF19-2D3D4E0C67C5}" presName="composite" presStyleCnt="0"/>
      <dgm:spPr/>
    </dgm:pt>
    <dgm:pt modelId="{965419D2-75AB-4165-9F64-7A21074D9C71}" type="pres">
      <dgm:prSet presAssocID="{D0295B9D-E077-4C34-BF19-2D3D4E0C67C5}" presName="background" presStyleLbl="node0" presStyleIdx="0" presStyleCnt="1"/>
      <dgm:spPr/>
    </dgm:pt>
    <dgm:pt modelId="{320501BD-59CE-4795-A5DE-FF9A036933E6}" type="pres">
      <dgm:prSet presAssocID="{D0295B9D-E077-4C34-BF19-2D3D4E0C67C5}" presName="text" presStyleLbl="fgAcc0" presStyleIdx="0" presStyleCnt="1" custScaleX="231631" custScaleY="170090">
        <dgm:presLayoutVars>
          <dgm:chPref val="3"/>
        </dgm:presLayoutVars>
      </dgm:prSet>
      <dgm:spPr/>
    </dgm:pt>
    <dgm:pt modelId="{D8E79099-B2D5-4482-B542-063B8D8D29EB}" type="pres">
      <dgm:prSet presAssocID="{D0295B9D-E077-4C34-BF19-2D3D4E0C67C5}" presName="hierChild2" presStyleCnt="0"/>
      <dgm:spPr/>
    </dgm:pt>
    <dgm:pt modelId="{1CFD4B12-5406-4D69-9C5D-A2C5145DC140}" type="pres">
      <dgm:prSet presAssocID="{E67E2070-3AA5-4AFB-A9C8-4B43DAB1E644}" presName="Name10" presStyleLbl="parChTrans1D2" presStyleIdx="0" presStyleCnt="2"/>
      <dgm:spPr/>
    </dgm:pt>
    <dgm:pt modelId="{F33B8C61-D8E6-4B95-8DB7-49C9806A40DF}" type="pres">
      <dgm:prSet presAssocID="{F32EBAC4-3C5A-4BC5-B498-43DB0A2DB49D}" presName="hierRoot2" presStyleCnt="0"/>
      <dgm:spPr/>
    </dgm:pt>
    <dgm:pt modelId="{770D1F2D-C22C-45F0-806A-6F70BA7D6A16}" type="pres">
      <dgm:prSet presAssocID="{F32EBAC4-3C5A-4BC5-B498-43DB0A2DB49D}" presName="composite2" presStyleCnt="0"/>
      <dgm:spPr/>
    </dgm:pt>
    <dgm:pt modelId="{877BD54D-8327-4F33-B297-86D889952743}" type="pres">
      <dgm:prSet presAssocID="{F32EBAC4-3C5A-4BC5-B498-43DB0A2DB49D}" presName="background2" presStyleLbl="node2" presStyleIdx="0" presStyleCnt="2"/>
      <dgm:spPr/>
    </dgm:pt>
    <dgm:pt modelId="{4727418B-3166-4FD7-A4FA-B11F646B00E8}" type="pres">
      <dgm:prSet presAssocID="{F32EBAC4-3C5A-4BC5-B498-43DB0A2DB49D}" presName="text2" presStyleLbl="fgAcc2" presStyleIdx="0" presStyleCnt="2" custScaleX="254115" custScaleY="163999">
        <dgm:presLayoutVars>
          <dgm:chPref val="3"/>
        </dgm:presLayoutVars>
      </dgm:prSet>
      <dgm:spPr/>
    </dgm:pt>
    <dgm:pt modelId="{122BDF0B-1A8C-46F8-8449-08BF15D3AAC2}" type="pres">
      <dgm:prSet presAssocID="{F32EBAC4-3C5A-4BC5-B498-43DB0A2DB49D}" presName="hierChild3" presStyleCnt="0"/>
      <dgm:spPr/>
    </dgm:pt>
    <dgm:pt modelId="{7D72CC85-7FCF-4B2D-BD58-FEDDDF3C3F09}" type="pres">
      <dgm:prSet presAssocID="{E23BAAB3-3747-460F-983F-723D5FD574E8}" presName="Name10" presStyleLbl="parChTrans1D2" presStyleIdx="1" presStyleCnt="2"/>
      <dgm:spPr/>
    </dgm:pt>
    <dgm:pt modelId="{2F5317E3-CF02-4797-B1D4-F9BAA51CDDD9}" type="pres">
      <dgm:prSet presAssocID="{61B74021-95FB-42E0-863A-B24E84C47FF5}" presName="hierRoot2" presStyleCnt="0"/>
      <dgm:spPr/>
    </dgm:pt>
    <dgm:pt modelId="{DDAE11B6-6DE0-44B8-8E9A-7DC597A55365}" type="pres">
      <dgm:prSet presAssocID="{61B74021-95FB-42E0-863A-B24E84C47FF5}" presName="composite2" presStyleCnt="0"/>
      <dgm:spPr/>
    </dgm:pt>
    <dgm:pt modelId="{794F9E34-8642-4806-AEA4-BB09D3A36073}" type="pres">
      <dgm:prSet presAssocID="{61B74021-95FB-42E0-863A-B24E84C47FF5}" presName="background2" presStyleLbl="node2" presStyleIdx="1" presStyleCnt="2"/>
      <dgm:spPr/>
    </dgm:pt>
    <dgm:pt modelId="{E2F2584F-E293-44BD-864A-271865B41FA1}" type="pres">
      <dgm:prSet presAssocID="{61B74021-95FB-42E0-863A-B24E84C47FF5}" presName="text2" presStyleLbl="fgAcc2" presStyleIdx="1" presStyleCnt="2" custScaleX="237251" custScaleY="180769">
        <dgm:presLayoutVars>
          <dgm:chPref val="3"/>
        </dgm:presLayoutVars>
      </dgm:prSet>
      <dgm:spPr/>
    </dgm:pt>
    <dgm:pt modelId="{59D0EABC-91E2-4BD4-8792-15860AA89E8B}" type="pres">
      <dgm:prSet presAssocID="{61B74021-95FB-42E0-863A-B24E84C47FF5}" presName="hierChild3" presStyleCnt="0"/>
      <dgm:spPr/>
    </dgm:pt>
  </dgm:ptLst>
  <dgm:cxnLst>
    <dgm:cxn modelId="{1D9C9904-A74B-4347-8624-D870A7CE7AA4}" type="presOf" srcId="{F32EBAC4-3C5A-4BC5-B498-43DB0A2DB49D}" destId="{4727418B-3166-4FD7-A4FA-B11F646B00E8}" srcOrd="0" destOrd="0" presId="urn:microsoft.com/office/officeart/2005/8/layout/hierarchy1"/>
    <dgm:cxn modelId="{200F5E38-5B46-42DA-8E22-0931AE0DF66A}" srcId="{D0295B9D-E077-4C34-BF19-2D3D4E0C67C5}" destId="{F32EBAC4-3C5A-4BC5-B498-43DB0A2DB49D}" srcOrd="0" destOrd="0" parTransId="{E67E2070-3AA5-4AFB-A9C8-4B43DAB1E644}" sibTransId="{79537FEB-BEC8-4C90-A66F-FB9D6E22D48C}"/>
    <dgm:cxn modelId="{00FF515E-AD03-4FF9-863F-D79CE6D3BA28}" srcId="{85FDC88E-B7C0-46C2-A5E3-88DEA91838E3}" destId="{D0295B9D-E077-4C34-BF19-2D3D4E0C67C5}" srcOrd="0" destOrd="0" parTransId="{CC2F6279-743E-42F5-927C-C9589D46A306}" sibTransId="{5F839A5F-0C2B-4691-A296-0447F5C99D90}"/>
    <dgm:cxn modelId="{7EA3E177-99B1-4D8C-8B1A-F8EEA21D833D}" type="presOf" srcId="{E23BAAB3-3747-460F-983F-723D5FD574E8}" destId="{7D72CC85-7FCF-4B2D-BD58-FEDDDF3C3F09}" srcOrd="0" destOrd="0" presId="urn:microsoft.com/office/officeart/2005/8/layout/hierarchy1"/>
    <dgm:cxn modelId="{2B84959F-2085-4D58-AE7C-9E1CDD8759D0}" type="presOf" srcId="{E67E2070-3AA5-4AFB-A9C8-4B43DAB1E644}" destId="{1CFD4B12-5406-4D69-9C5D-A2C5145DC140}" srcOrd="0" destOrd="0" presId="urn:microsoft.com/office/officeart/2005/8/layout/hierarchy1"/>
    <dgm:cxn modelId="{329FB8A3-1EFF-4799-A156-91223C75DDEE}" type="presOf" srcId="{61B74021-95FB-42E0-863A-B24E84C47FF5}" destId="{E2F2584F-E293-44BD-864A-271865B41FA1}" srcOrd="0" destOrd="0" presId="urn:microsoft.com/office/officeart/2005/8/layout/hierarchy1"/>
    <dgm:cxn modelId="{4C37CEB1-80AA-4A5D-BAF5-47DF1332E301}" type="presOf" srcId="{85FDC88E-B7C0-46C2-A5E3-88DEA91838E3}" destId="{090CF0BE-AFAD-47D8-9E3C-C59E2E09A7D4}" srcOrd="0" destOrd="0" presId="urn:microsoft.com/office/officeart/2005/8/layout/hierarchy1"/>
    <dgm:cxn modelId="{4D89FBC5-C401-467C-9348-74E755B8A330}" srcId="{D0295B9D-E077-4C34-BF19-2D3D4E0C67C5}" destId="{61B74021-95FB-42E0-863A-B24E84C47FF5}" srcOrd="1" destOrd="0" parTransId="{E23BAAB3-3747-460F-983F-723D5FD574E8}" sibTransId="{D6B13F71-A2B5-4A1D-B8ED-D14F0CEE027E}"/>
    <dgm:cxn modelId="{937B32D8-C7B7-49A5-ABFD-2DC852B72B0A}" type="presOf" srcId="{D0295B9D-E077-4C34-BF19-2D3D4E0C67C5}" destId="{320501BD-59CE-4795-A5DE-FF9A036933E6}" srcOrd="0" destOrd="0" presId="urn:microsoft.com/office/officeart/2005/8/layout/hierarchy1"/>
    <dgm:cxn modelId="{3E8AADD4-5DE7-474A-BD2A-4029045F78AF}" type="presParOf" srcId="{090CF0BE-AFAD-47D8-9E3C-C59E2E09A7D4}" destId="{59878639-19F4-4FC3-9C42-55FB0D6F1FB2}" srcOrd="0" destOrd="0" presId="urn:microsoft.com/office/officeart/2005/8/layout/hierarchy1"/>
    <dgm:cxn modelId="{DB51C16C-1816-4975-96FB-1C533BF9E3DA}" type="presParOf" srcId="{59878639-19F4-4FC3-9C42-55FB0D6F1FB2}" destId="{7EEC9978-8EF3-45EB-AEC6-7959F64C2B34}" srcOrd="0" destOrd="0" presId="urn:microsoft.com/office/officeart/2005/8/layout/hierarchy1"/>
    <dgm:cxn modelId="{B49C4C0F-974E-490B-945F-57F08A1E8FAE}" type="presParOf" srcId="{7EEC9978-8EF3-45EB-AEC6-7959F64C2B34}" destId="{965419D2-75AB-4165-9F64-7A21074D9C71}" srcOrd="0" destOrd="0" presId="urn:microsoft.com/office/officeart/2005/8/layout/hierarchy1"/>
    <dgm:cxn modelId="{A6B9CB90-B775-45E3-B973-DCCD77CF7D77}" type="presParOf" srcId="{7EEC9978-8EF3-45EB-AEC6-7959F64C2B34}" destId="{320501BD-59CE-4795-A5DE-FF9A036933E6}" srcOrd="1" destOrd="0" presId="urn:microsoft.com/office/officeart/2005/8/layout/hierarchy1"/>
    <dgm:cxn modelId="{9B838792-21BF-412C-A2BE-C7CD318E89E3}" type="presParOf" srcId="{59878639-19F4-4FC3-9C42-55FB0D6F1FB2}" destId="{D8E79099-B2D5-4482-B542-063B8D8D29EB}" srcOrd="1" destOrd="0" presId="urn:microsoft.com/office/officeart/2005/8/layout/hierarchy1"/>
    <dgm:cxn modelId="{149F9449-7A01-4AD3-859A-528829999C9A}" type="presParOf" srcId="{D8E79099-B2D5-4482-B542-063B8D8D29EB}" destId="{1CFD4B12-5406-4D69-9C5D-A2C5145DC140}" srcOrd="0" destOrd="0" presId="urn:microsoft.com/office/officeart/2005/8/layout/hierarchy1"/>
    <dgm:cxn modelId="{3CD8BE8A-26C9-4753-8531-1F0E6D125BE0}" type="presParOf" srcId="{D8E79099-B2D5-4482-B542-063B8D8D29EB}" destId="{F33B8C61-D8E6-4B95-8DB7-49C9806A40DF}" srcOrd="1" destOrd="0" presId="urn:microsoft.com/office/officeart/2005/8/layout/hierarchy1"/>
    <dgm:cxn modelId="{44143ADC-3BBA-433C-B202-A1DEB0C16BF2}" type="presParOf" srcId="{F33B8C61-D8E6-4B95-8DB7-49C9806A40DF}" destId="{770D1F2D-C22C-45F0-806A-6F70BA7D6A16}" srcOrd="0" destOrd="0" presId="urn:microsoft.com/office/officeart/2005/8/layout/hierarchy1"/>
    <dgm:cxn modelId="{F54E4958-99EB-4DE0-B15D-484318EE5D08}" type="presParOf" srcId="{770D1F2D-C22C-45F0-806A-6F70BA7D6A16}" destId="{877BD54D-8327-4F33-B297-86D889952743}" srcOrd="0" destOrd="0" presId="urn:microsoft.com/office/officeart/2005/8/layout/hierarchy1"/>
    <dgm:cxn modelId="{BC51E395-8771-433C-BEC1-07E9A75E68DA}" type="presParOf" srcId="{770D1F2D-C22C-45F0-806A-6F70BA7D6A16}" destId="{4727418B-3166-4FD7-A4FA-B11F646B00E8}" srcOrd="1" destOrd="0" presId="urn:microsoft.com/office/officeart/2005/8/layout/hierarchy1"/>
    <dgm:cxn modelId="{8600155A-4A81-4B2F-9878-46370A65627F}" type="presParOf" srcId="{F33B8C61-D8E6-4B95-8DB7-49C9806A40DF}" destId="{122BDF0B-1A8C-46F8-8449-08BF15D3AAC2}" srcOrd="1" destOrd="0" presId="urn:microsoft.com/office/officeart/2005/8/layout/hierarchy1"/>
    <dgm:cxn modelId="{D541D4F0-930F-455B-AFF3-E0EA179F82C5}" type="presParOf" srcId="{D8E79099-B2D5-4482-B542-063B8D8D29EB}" destId="{7D72CC85-7FCF-4B2D-BD58-FEDDDF3C3F09}" srcOrd="2" destOrd="0" presId="urn:microsoft.com/office/officeart/2005/8/layout/hierarchy1"/>
    <dgm:cxn modelId="{45920992-EFA1-4874-A799-FF1555F4F723}" type="presParOf" srcId="{D8E79099-B2D5-4482-B542-063B8D8D29EB}" destId="{2F5317E3-CF02-4797-B1D4-F9BAA51CDDD9}" srcOrd="3" destOrd="0" presId="urn:microsoft.com/office/officeart/2005/8/layout/hierarchy1"/>
    <dgm:cxn modelId="{EC96F2CA-99A1-48C1-BCAA-645027C8266A}" type="presParOf" srcId="{2F5317E3-CF02-4797-B1D4-F9BAA51CDDD9}" destId="{DDAE11B6-6DE0-44B8-8E9A-7DC597A55365}" srcOrd="0" destOrd="0" presId="urn:microsoft.com/office/officeart/2005/8/layout/hierarchy1"/>
    <dgm:cxn modelId="{E78A8E28-8CC1-4E77-9139-EEF307AC7C05}" type="presParOf" srcId="{DDAE11B6-6DE0-44B8-8E9A-7DC597A55365}" destId="{794F9E34-8642-4806-AEA4-BB09D3A36073}" srcOrd="0" destOrd="0" presId="urn:microsoft.com/office/officeart/2005/8/layout/hierarchy1"/>
    <dgm:cxn modelId="{DD61695C-AAE5-473D-BEA2-440680D88CEE}" type="presParOf" srcId="{DDAE11B6-6DE0-44B8-8E9A-7DC597A55365}" destId="{E2F2584F-E293-44BD-864A-271865B41FA1}" srcOrd="1" destOrd="0" presId="urn:microsoft.com/office/officeart/2005/8/layout/hierarchy1"/>
    <dgm:cxn modelId="{D97D202E-5F4A-4B5C-AD21-AAF9C3284D4F}" type="presParOf" srcId="{2F5317E3-CF02-4797-B1D4-F9BAA51CDDD9}" destId="{59D0EABC-91E2-4BD4-8792-15860AA89E8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72CC85-7FCF-4B2D-BD58-FEDDDF3C3F09}">
      <dsp:nvSpPr>
        <dsp:cNvPr id="0" name=""/>
        <dsp:cNvSpPr/>
      </dsp:nvSpPr>
      <dsp:spPr>
        <a:xfrm>
          <a:off x="2286301" y="661912"/>
          <a:ext cx="845308" cy="177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254"/>
              </a:lnTo>
              <a:lnTo>
                <a:pt x="845308" y="121254"/>
              </a:lnTo>
              <a:lnTo>
                <a:pt x="845308" y="1779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FD4B12-5406-4D69-9C5D-A2C5145DC140}">
      <dsp:nvSpPr>
        <dsp:cNvPr id="0" name=""/>
        <dsp:cNvSpPr/>
      </dsp:nvSpPr>
      <dsp:spPr>
        <a:xfrm>
          <a:off x="1492578" y="661912"/>
          <a:ext cx="793722" cy="177930"/>
        </a:xfrm>
        <a:custGeom>
          <a:avLst/>
          <a:gdLst/>
          <a:ahLst/>
          <a:cxnLst/>
          <a:rect l="0" t="0" r="0" b="0"/>
          <a:pathLst>
            <a:path>
              <a:moveTo>
                <a:pt x="793722" y="0"/>
              </a:moveTo>
              <a:lnTo>
                <a:pt x="793722" y="121254"/>
              </a:lnTo>
              <a:lnTo>
                <a:pt x="0" y="121254"/>
              </a:lnTo>
              <a:lnTo>
                <a:pt x="0" y="1779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5419D2-75AB-4165-9F64-7A21074D9C71}">
      <dsp:nvSpPr>
        <dsp:cNvPr id="0" name=""/>
        <dsp:cNvSpPr/>
      </dsp:nvSpPr>
      <dsp:spPr>
        <a:xfrm>
          <a:off x="1577747" y="1129"/>
          <a:ext cx="1417107" cy="6607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0501BD-59CE-4795-A5DE-FF9A036933E6}">
      <dsp:nvSpPr>
        <dsp:cNvPr id="0" name=""/>
        <dsp:cNvSpPr/>
      </dsp:nvSpPr>
      <dsp:spPr>
        <a:xfrm>
          <a:off x="1645724" y="65707"/>
          <a:ext cx="1417107" cy="6607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/>
            <a:t>Bairros: áreas verdes</a:t>
          </a:r>
        </a:p>
      </dsp:txBody>
      <dsp:txXfrm>
        <a:off x="1665078" y="85061"/>
        <a:ext cx="1378399" cy="622074"/>
      </dsp:txXfrm>
    </dsp:sp>
    <dsp:sp modelId="{877BD54D-8327-4F33-B297-86D889952743}">
      <dsp:nvSpPr>
        <dsp:cNvPr id="0" name=""/>
        <dsp:cNvSpPr/>
      </dsp:nvSpPr>
      <dsp:spPr>
        <a:xfrm>
          <a:off x="715247" y="839842"/>
          <a:ext cx="1554663" cy="6371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27418B-3166-4FD7-A4FA-B11F646B00E8}">
      <dsp:nvSpPr>
        <dsp:cNvPr id="0" name=""/>
        <dsp:cNvSpPr/>
      </dsp:nvSpPr>
      <dsp:spPr>
        <a:xfrm>
          <a:off x="783224" y="904420"/>
          <a:ext cx="1554663" cy="6371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/>
            <a:t>Composição específica de fauna e flora</a:t>
          </a:r>
        </a:p>
      </dsp:txBody>
      <dsp:txXfrm>
        <a:off x="801885" y="923081"/>
        <a:ext cx="1517341" cy="599797"/>
      </dsp:txXfrm>
    </dsp:sp>
    <dsp:sp modelId="{794F9E34-8642-4806-AEA4-BB09D3A36073}">
      <dsp:nvSpPr>
        <dsp:cNvPr id="0" name=""/>
        <dsp:cNvSpPr/>
      </dsp:nvSpPr>
      <dsp:spPr>
        <a:xfrm>
          <a:off x="2405865" y="839842"/>
          <a:ext cx="1451490" cy="7022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F2584F-E293-44BD-864A-271865B41FA1}">
      <dsp:nvSpPr>
        <dsp:cNvPr id="0" name=""/>
        <dsp:cNvSpPr/>
      </dsp:nvSpPr>
      <dsp:spPr>
        <a:xfrm>
          <a:off x="2473842" y="904420"/>
          <a:ext cx="1451490" cy="7022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/>
            <a:t>Significado simbólico de fauna, flora e disposição de objetos sagrados</a:t>
          </a:r>
        </a:p>
      </dsp:txBody>
      <dsp:txXfrm>
        <a:off x="2494411" y="924989"/>
        <a:ext cx="1410352" cy="6611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1861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Natal Teixeira</dc:creator>
  <cp:keywords/>
  <dc:description/>
  <cp:lastModifiedBy>Marcela Goes</cp:lastModifiedBy>
  <cp:revision>3</cp:revision>
  <dcterms:created xsi:type="dcterms:W3CDTF">2025-11-14T22:47:00Z</dcterms:created>
  <dcterms:modified xsi:type="dcterms:W3CDTF">2025-11-14T23:21:00Z</dcterms:modified>
</cp:coreProperties>
</file>