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highlight w:val="white"/>
        </w:rPr>
      </w:pPr>
      <w:r w:rsidDel="00000000" w:rsidR="00000000" w:rsidRPr="00000000">
        <w:rPr>
          <w:rtl w:val="0"/>
        </w:rPr>
      </w:r>
    </w:p>
    <w:p w:rsidR="00000000" w:rsidDel="00000000" w:rsidP="00000000" w:rsidRDefault="00000000" w:rsidRPr="00000000" w14:paraId="00000002">
      <w:pPr>
        <w:spacing w:before="0" w:line="360" w:lineRule="auto"/>
        <w:jc w:val="center"/>
        <w:rPr>
          <w:b w:val="1"/>
          <w:bCs w:val="1"/>
          <w:sz w:val="24"/>
          <w:szCs w:val="24"/>
          <w:highlight w:val="white"/>
        </w:rPr>
      </w:pPr>
      <w:r w:rsidDel="00000000" w:rsidR="00000000" w:rsidRPr="00000000">
        <w:rPr>
          <w:b w:val="1"/>
          <w:bCs w:val="1"/>
          <w:sz w:val="24"/>
          <w:szCs w:val="24"/>
          <w:highlight w:val="white"/>
          <w:rtl w:val="0"/>
        </w:rPr>
        <w:t xml:space="preserve">PRÁTICAS EDUCACIONAIS E SOFRIMENTO PSÍQUICO ENTRE ACADÊMICOS DE MEDICINA NO SUL DE SANTA CATARINA</w:t>
      </w:r>
    </w:p>
    <w:p w:rsidR="00000000" w:rsidDel="00000000" w:rsidP="00000000" w:rsidRDefault="00000000" w:rsidRPr="00000000" w14:paraId="00000003">
      <w:pPr>
        <w:spacing w:before="0" w:line="36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4">
      <w:pPr>
        <w:spacing w:before="0" w:line="360" w:lineRule="auto"/>
        <w:jc w:val="center"/>
        <w:rPr>
          <w:sz w:val="24"/>
          <w:szCs w:val="24"/>
          <w:highlight w:val="white"/>
        </w:rPr>
      </w:pPr>
      <w:r w:rsidDel="00000000" w:rsidR="00000000" w:rsidRPr="00000000">
        <w:rPr>
          <w:sz w:val="24"/>
          <w:szCs w:val="24"/>
          <w:highlight w:val="white"/>
          <w:rtl w:val="0"/>
        </w:rPr>
        <w:t xml:space="preserve">Laís Villa Demétrio¹; Paulo Henrique Ghizoni Pereira¹; Gabriela de Souza Fernandes¹; Julia de Menezes Furtado¹; Lívia Sther de Carvalho Santiago²; Felipe Alves Silva¹; Beatriz Schuelter Trevisol¹; (Dra.) Fabiana Schuelter-Trevisol³</w:t>
      </w:r>
    </w:p>
    <w:p w:rsidR="00000000" w:rsidDel="00000000" w:rsidP="00000000" w:rsidRDefault="00000000" w:rsidRPr="00000000" w14:paraId="00000005">
      <w:pPr>
        <w:spacing w:before="0" w:line="36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6">
      <w:pPr>
        <w:spacing w:before="0" w:line="360" w:lineRule="auto"/>
        <w:jc w:val="both"/>
        <w:rPr>
          <w:sz w:val="24"/>
          <w:szCs w:val="24"/>
          <w:highlight w:val="white"/>
        </w:rPr>
      </w:pPr>
      <w:r w:rsidDel="00000000" w:rsidR="00000000" w:rsidRPr="00000000">
        <w:rPr>
          <w:sz w:val="24"/>
          <w:szCs w:val="24"/>
          <w:highlight w:val="white"/>
          <w:rtl w:val="0"/>
        </w:rPr>
        <w:t xml:space="preserve">¹Discente na Universidade do Sul de Santa Catarina </w:t>
      </w:r>
    </w:p>
    <w:p w:rsidR="00000000" w:rsidDel="00000000" w:rsidP="00000000" w:rsidRDefault="00000000" w:rsidRPr="00000000" w14:paraId="00000007">
      <w:pPr>
        <w:spacing w:before="0" w:line="360" w:lineRule="auto"/>
        <w:jc w:val="both"/>
        <w:rPr>
          <w:sz w:val="24"/>
          <w:szCs w:val="24"/>
          <w:highlight w:val="white"/>
        </w:rPr>
      </w:pPr>
      <w:r w:rsidDel="00000000" w:rsidR="00000000" w:rsidRPr="00000000">
        <w:rPr>
          <w:sz w:val="24"/>
          <w:szCs w:val="24"/>
          <w:highlight w:val="white"/>
          <w:rtl w:val="0"/>
        </w:rPr>
        <w:t xml:space="preserve">*e-mail para contato: laisdemetrio.med@gmail.com</w:t>
      </w:r>
    </w:p>
    <w:p w:rsidR="00000000" w:rsidDel="00000000" w:rsidP="00000000" w:rsidRDefault="00000000" w:rsidRPr="00000000" w14:paraId="00000008">
      <w:pPr>
        <w:spacing w:before="0" w:line="360" w:lineRule="auto"/>
        <w:jc w:val="both"/>
        <w:rPr>
          <w:sz w:val="24"/>
          <w:szCs w:val="24"/>
          <w:highlight w:val="white"/>
        </w:rPr>
      </w:pPr>
      <w:r w:rsidDel="00000000" w:rsidR="00000000" w:rsidRPr="00000000">
        <w:rPr>
          <w:sz w:val="24"/>
          <w:szCs w:val="24"/>
          <w:highlight w:val="white"/>
          <w:rtl w:val="0"/>
        </w:rPr>
        <w:t xml:space="preserve">²Discente na Faculdade Ciências Médicas de Minas Gerais</w:t>
      </w:r>
    </w:p>
    <w:p w:rsidR="00000000" w:rsidDel="00000000" w:rsidP="00000000" w:rsidRDefault="00000000" w:rsidRPr="00000000" w14:paraId="00000009">
      <w:pPr>
        <w:spacing w:before="0" w:line="360" w:lineRule="auto"/>
        <w:jc w:val="both"/>
        <w:rPr>
          <w:sz w:val="24"/>
          <w:szCs w:val="24"/>
          <w:highlight w:val="white"/>
        </w:rPr>
      </w:pPr>
      <w:r w:rsidDel="00000000" w:rsidR="00000000" w:rsidRPr="00000000">
        <w:rPr>
          <w:sz w:val="24"/>
          <w:szCs w:val="24"/>
          <w:highlight w:val="white"/>
          <w:rtl w:val="0"/>
        </w:rPr>
        <w:t xml:space="preserve">³Professora no curso de Medicina e Pesquisadora do Programa de Pós-Graduação em Ciências Saúde da Universidade do Sul de Santa Catarina</w:t>
      </w:r>
    </w:p>
    <w:p w:rsidR="00000000" w:rsidDel="00000000" w:rsidP="00000000" w:rsidRDefault="00000000" w:rsidRPr="00000000" w14:paraId="0000000A">
      <w:pPr>
        <w:spacing w:before="0" w:line="36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pacing w:before="0" w:line="360" w:lineRule="auto"/>
        <w:jc w:val="both"/>
        <w:rPr>
          <w:sz w:val="24"/>
          <w:szCs w:val="24"/>
          <w:highlight w:val="white"/>
        </w:rPr>
      </w:pPr>
      <w:r w:rsidDel="00000000" w:rsidR="00000000" w:rsidRPr="00000000">
        <w:rPr>
          <w:b w:val="1"/>
          <w:bCs w:val="1"/>
          <w:sz w:val="24"/>
          <w:szCs w:val="24"/>
          <w:highlight w:val="white"/>
          <w:rtl w:val="0"/>
        </w:rPr>
        <w:t xml:space="preserve">RESUMO</w:t>
      </w:r>
      <w:r w:rsidDel="00000000" w:rsidR="00000000" w:rsidRPr="00000000">
        <w:rPr>
          <w:rtl w:val="0"/>
        </w:rPr>
      </w:r>
    </w:p>
    <w:p w:rsidR="00000000" w:rsidDel="00000000" w:rsidP="00000000" w:rsidRDefault="00000000" w:rsidRPr="00000000" w14:paraId="0000000C">
      <w:pPr>
        <w:spacing w:line="360" w:lineRule="auto"/>
        <w:jc w:val="both"/>
        <w:rPr>
          <w:sz w:val="24"/>
          <w:szCs w:val="24"/>
          <w:highlight w:val="white"/>
        </w:rPr>
      </w:pPr>
      <w:r w:rsidDel="00000000" w:rsidR="00000000" w:rsidRPr="00000000">
        <w:rPr>
          <w:b w:val="1"/>
          <w:bCs w:val="1"/>
          <w:sz w:val="24"/>
          <w:szCs w:val="24"/>
          <w:highlight w:val="white"/>
          <w:rtl w:val="0"/>
        </w:rPr>
        <w:t xml:space="preserve">Introdução:</w:t>
      </w:r>
      <w:r w:rsidDel="00000000" w:rsidR="00000000" w:rsidRPr="00000000">
        <w:rPr>
          <w:sz w:val="24"/>
          <w:szCs w:val="24"/>
          <w:highlight w:val="white"/>
          <w:rtl w:val="0"/>
        </w:rPr>
        <w:t xml:space="preserve"> A saúde mental dos estudantes de medicina tem sido motivo de crescente preocupação, especialmente diante das pressões acadêmicas e das diferenças entre os métodos de ensino. </w:t>
      </w:r>
      <w:r w:rsidDel="00000000" w:rsidR="00000000" w:rsidRPr="00000000">
        <w:rPr>
          <w:b w:val="1"/>
          <w:bCs w:val="1"/>
          <w:sz w:val="24"/>
          <w:szCs w:val="24"/>
          <w:highlight w:val="white"/>
          <w:rtl w:val="0"/>
        </w:rPr>
        <w:t xml:space="preserve">Métodos:</w:t>
      </w:r>
      <w:r w:rsidDel="00000000" w:rsidR="00000000" w:rsidRPr="00000000">
        <w:rPr>
          <w:sz w:val="24"/>
          <w:szCs w:val="24"/>
          <w:highlight w:val="white"/>
          <w:rtl w:val="0"/>
        </w:rPr>
        <w:t xml:space="preserve"> Realizou-se um estudo observacional transversal com 162 estudantes de Medicina da UNISUL–Tubarão, divididos entre os métodos tradicional (n=63) e Problem Based Learning (PBL; n=89). Os participantes responderam a um questionário eletrônico contendo dados sociodemográficos e o Self-Reporting Questionnaire (SRQ-20). </w:t>
      </w:r>
      <w:r w:rsidDel="00000000" w:rsidR="00000000" w:rsidRPr="00000000">
        <w:rPr>
          <w:b w:val="1"/>
          <w:bCs w:val="1"/>
          <w:sz w:val="24"/>
          <w:szCs w:val="24"/>
          <w:highlight w:val="white"/>
          <w:rtl w:val="0"/>
        </w:rPr>
        <w:t xml:space="preserve">Resultados:</w:t>
      </w:r>
      <w:r w:rsidDel="00000000" w:rsidR="00000000" w:rsidRPr="00000000">
        <w:rPr>
          <w:sz w:val="24"/>
          <w:szCs w:val="24"/>
          <w:highlight w:val="white"/>
          <w:rtl w:val="0"/>
        </w:rPr>
        <w:t xml:space="preserve"> Observou-se mediana de 5 pontos no grupo tradicional e 9 no grupo PBL. Houve predominância feminina em ambos os métodos e maior prevalência de sintomas ansiosos entre mulheres. </w:t>
      </w:r>
      <w:r w:rsidDel="00000000" w:rsidR="00000000" w:rsidRPr="00000000">
        <w:rPr>
          <w:b w:val="1"/>
          <w:bCs w:val="1"/>
          <w:sz w:val="24"/>
          <w:szCs w:val="24"/>
          <w:highlight w:val="white"/>
          <w:rtl w:val="0"/>
        </w:rPr>
        <w:t xml:space="preserve">Conclusão:</w:t>
      </w:r>
      <w:r w:rsidDel="00000000" w:rsidR="00000000" w:rsidRPr="00000000">
        <w:rPr>
          <w:sz w:val="24"/>
          <w:szCs w:val="24"/>
          <w:highlight w:val="white"/>
          <w:rtl w:val="0"/>
        </w:rPr>
        <w:t xml:space="preserve"> Apesar de o PBL favorecer maior protagonismo acadêmico, observou-se maior pontuação no SRQ-20 entre seus estudantes, sugerindo que o método, embora ativo, também impõe desafios emocionais relevantes que demandam atenção institucional.</w:t>
      </w:r>
    </w:p>
    <w:p w:rsidR="00000000" w:rsidDel="00000000" w:rsidP="00000000" w:rsidRDefault="00000000" w:rsidRPr="00000000" w14:paraId="0000000D">
      <w:pPr>
        <w:spacing w:before="0" w:line="36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E">
      <w:pPr>
        <w:spacing w:before="0" w:line="360" w:lineRule="auto"/>
        <w:rPr>
          <w:sz w:val="24"/>
          <w:szCs w:val="24"/>
          <w:highlight w:val="white"/>
        </w:rPr>
      </w:pPr>
      <w:r w:rsidDel="00000000" w:rsidR="00000000" w:rsidRPr="00000000">
        <w:rPr>
          <w:b w:val="1"/>
          <w:bCs w:val="1"/>
          <w:sz w:val="24"/>
          <w:szCs w:val="24"/>
          <w:highlight w:val="white"/>
          <w:rtl w:val="0"/>
        </w:rPr>
        <w:t xml:space="preserve">PALAVRAS-CHAVE:</w:t>
      </w:r>
      <w:r w:rsidDel="00000000" w:rsidR="00000000" w:rsidRPr="00000000">
        <w:rPr>
          <w:sz w:val="24"/>
          <w:szCs w:val="24"/>
          <w:highlight w:val="white"/>
          <w:rtl w:val="0"/>
        </w:rPr>
        <w:t xml:space="preserve"> Método de Ensino; Transtornos Mentais Comuns; Educação Médica.</w:t>
      </w:r>
    </w:p>
    <w:p w:rsidR="00000000" w:rsidDel="00000000" w:rsidP="00000000" w:rsidRDefault="00000000" w:rsidRPr="00000000" w14:paraId="0000000F">
      <w:pPr>
        <w:spacing w:before="0" w:line="36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spacing w:before="0" w:line="360" w:lineRule="auto"/>
        <w:jc w:val="both"/>
        <w:rPr>
          <w:b w:val="1"/>
          <w:bCs w:val="1"/>
          <w:sz w:val="24"/>
          <w:szCs w:val="24"/>
          <w:highlight w:val="white"/>
        </w:rPr>
      </w:pPr>
      <w:r w:rsidDel="00000000" w:rsidR="00000000" w:rsidRPr="00000000">
        <w:rPr>
          <w:b w:val="1"/>
          <w:bCs w:val="1"/>
          <w:sz w:val="24"/>
          <w:szCs w:val="24"/>
          <w:highlight w:val="white"/>
          <w:rtl w:val="0"/>
        </w:rPr>
        <w:t xml:space="preserve">INTRODUÇÃO</w:t>
      </w:r>
    </w:p>
    <w:p w:rsidR="00000000" w:rsidDel="00000000" w:rsidP="00000000" w:rsidRDefault="00000000" w:rsidRPr="00000000" w14:paraId="00000011">
      <w:pPr>
        <w:spacing w:before="0" w:line="360" w:lineRule="auto"/>
        <w:jc w:val="both"/>
        <w:rPr>
          <w:sz w:val="24"/>
          <w:szCs w:val="24"/>
          <w:highlight w:val="white"/>
        </w:rPr>
      </w:pPr>
      <w:r w:rsidDel="00000000" w:rsidR="00000000" w:rsidRPr="00000000">
        <w:rPr>
          <w:sz w:val="24"/>
          <w:szCs w:val="24"/>
          <w:highlight w:val="white"/>
          <w:rtl w:val="0"/>
        </w:rPr>
        <w:t xml:space="preserve">A saúde mental pode ser compreendida como um estado de bem-estar que permite aos indivíduos lidarem com os estresses normais da vida e desempenharem suas atividades de forma produtiva. Além disso, uma boa saúde mental confere competências e resiliência para enfrentar situações anormais e potencialmente destrutivas de maneira mais adaptativa (Fusar-Poli et al, 2020).</w:t>
      </w:r>
    </w:p>
    <w:p w:rsidR="00000000" w:rsidDel="00000000" w:rsidP="00000000" w:rsidRDefault="00000000" w:rsidRPr="00000000" w14:paraId="00000012">
      <w:pPr>
        <w:spacing w:before="0" w:line="360" w:lineRule="auto"/>
        <w:jc w:val="both"/>
        <w:rPr>
          <w:sz w:val="24"/>
          <w:szCs w:val="24"/>
          <w:highlight w:val="white"/>
        </w:rPr>
      </w:pPr>
      <w:r w:rsidDel="00000000" w:rsidR="00000000" w:rsidRPr="00000000">
        <w:rPr>
          <w:sz w:val="24"/>
          <w:szCs w:val="24"/>
          <w:highlight w:val="white"/>
          <w:rtl w:val="0"/>
        </w:rPr>
        <w:t xml:space="preserve">Os profissionais de saúde, em suas diversas áreas e sistemas de atuação, estão continuamente expostos a fatores de estresse, sobrecargas e desafios que podem comprometer sua saúde mental (Søvold et al, 2021). Entre esses profissionais, o médico tem sido amplamente estudado devido à singularidade de suas funções e ao impacto mais evidente sobre sua saúde psíquica (Schultz et al., 2025).</w:t>
      </w:r>
    </w:p>
    <w:p w:rsidR="00000000" w:rsidDel="00000000" w:rsidP="00000000" w:rsidRDefault="00000000" w:rsidRPr="00000000" w14:paraId="00000013">
      <w:pPr>
        <w:spacing w:before="0" w:line="360" w:lineRule="auto"/>
        <w:jc w:val="both"/>
        <w:rPr>
          <w:sz w:val="24"/>
          <w:szCs w:val="24"/>
          <w:highlight w:val="white"/>
        </w:rPr>
      </w:pPr>
      <w:r w:rsidDel="00000000" w:rsidR="00000000" w:rsidRPr="00000000">
        <w:rPr>
          <w:sz w:val="24"/>
          <w:szCs w:val="24"/>
          <w:highlight w:val="white"/>
          <w:rtl w:val="0"/>
        </w:rPr>
        <w:t xml:space="preserve">Esse comprometimento pode ser observado desde o início da formação acadêmica, influenciado por fatores como o vestibular altamente competitivo, as diferenças metodológicas em relação ao ensino médio, a longa duração do ciclo básico — que, nos modelos tradicionais flexnerianos, posterga o contato com o paciente —, o ritmo intenso de plantões e a pressão relacionada à escolha da especialidade (Tenório et al., 2016).</w:t>
      </w:r>
    </w:p>
    <w:p w:rsidR="00000000" w:rsidDel="00000000" w:rsidP="00000000" w:rsidRDefault="00000000" w:rsidRPr="00000000" w14:paraId="00000014">
      <w:pPr>
        <w:spacing w:before="0" w:line="360" w:lineRule="auto"/>
        <w:jc w:val="both"/>
        <w:rPr>
          <w:sz w:val="24"/>
          <w:szCs w:val="24"/>
          <w:highlight w:val="white"/>
        </w:rPr>
      </w:pPr>
      <w:r w:rsidDel="00000000" w:rsidR="00000000" w:rsidRPr="00000000">
        <w:rPr>
          <w:sz w:val="24"/>
          <w:szCs w:val="24"/>
          <w:highlight w:val="white"/>
          <w:rtl w:val="0"/>
        </w:rPr>
        <w:t xml:space="preserve">No modelo tradicional de ensino, o estudante tende a assumir uma postura passiva, sendo visto mais como consumidor do conhecimento do que como agente de sua construção. Em contrapartida, as metodologias ativas de ensino-aprendizagem propõem uma mudança significativa nessa perspectiva, estimulando o protagonismo, a autoaprendizagem e a criatividade. Assim, o aluno passa a interagir ativamente com o professor e com os colegas, vivenciando experiências de aprendizado mais dinâmicas e significativas (Marques et al., 2021).</w:t>
      </w:r>
    </w:p>
    <w:p w:rsidR="00000000" w:rsidDel="00000000" w:rsidP="00000000" w:rsidRDefault="00000000" w:rsidRPr="00000000" w14:paraId="00000015">
      <w:pPr>
        <w:spacing w:before="0" w:line="360" w:lineRule="auto"/>
        <w:jc w:val="both"/>
        <w:rPr>
          <w:sz w:val="24"/>
          <w:szCs w:val="24"/>
          <w:highlight w:val="white"/>
        </w:rPr>
      </w:pPr>
      <w:r w:rsidDel="00000000" w:rsidR="00000000" w:rsidRPr="00000000">
        <w:rPr>
          <w:sz w:val="24"/>
          <w:szCs w:val="24"/>
          <w:highlight w:val="white"/>
          <w:rtl w:val="0"/>
        </w:rPr>
        <w:t xml:space="preserve">Entretanto, a transição do ensino tradicional para o modelo Problem Based Learning (PBL – Aprendizagem Baseada em Problemas) representa um momento desafiador. Essa adaptação pode gerar insegurança, instabilidade, desconforto, angústia, frustração e sofrimento psíquico entre os estudantes, ao mesmo tempo em que demanda maior envolvimento no processo de aprendizagem (Torres et al., 2019).</w:t>
      </w:r>
    </w:p>
    <w:p w:rsidR="00000000" w:rsidDel="00000000" w:rsidP="00000000" w:rsidRDefault="00000000" w:rsidRPr="00000000" w14:paraId="00000016">
      <w:pPr>
        <w:spacing w:before="0" w:line="360" w:lineRule="auto"/>
        <w:jc w:val="both"/>
        <w:rPr>
          <w:sz w:val="24"/>
          <w:szCs w:val="24"/>
          <w:highlight w:val="white"/>
        </w:rPr>
      </w:pPr>
      <w:r w:rsidDel="00000000" w:rsidR="00000000" w:rsidRPr="00000000">
        <w:rPr>
          <w:sz w:val="24"/>
          <w:szCs w:val="24"/>
          <w:highlight w:val="white"/>
          <w:rtl w:val="0"/>
        </w:rPr>
        <w:t xml:space="preserve">Por outro lado, diversos estudos apontam resultados predominantemente favoráveis ao PBL, indicando que essa metodologia pode estar associada a melhores indicadores de saúde mental. Ainda assim, a presença de transtornos mentais entre os estudantes desse modelo não é inexistente, apenas menos prevalente quando comparada ao ensino tradicional (Silva et al., 2020; Jestin et al., 2023).</w:t>
      </w:r>
    </w:p>
    <w:p w:rsidR="00000000" w:rsidDel="00000000" w:rsidP="00000000" w:rsidRDefault="00000000" w:rsidRPr="00000000" w14:paraId="00000017">
      <w:pPr>
        <w:spacing w:before="0" w:line="360" w:lineRule="auto"/>
        <w:jc w:val="both"/>
        <w:rPr>
          <w:sz w:val="24"/>
          <w:szCs w:val="24"/>
          <w:highlight w:val="white"/>
        </w:rPr>
      </w:pPr>
      <w:r w:rsidDel="00000000" w:rsidR="00000000" w:rsidRPr="00000000">
        <w:rPr>
          <w:sz w:val="24"/>
          <w:szCs w:val="24"/>
          <w:highlight w:val="white"/>
          <w:rtl w:val="0"/>
        </w:rPr>
        <w:t xml:space="preserve">O crescente volume de pesquisas sobre a saúde mental de estudantes de medicina neste século reflete uma preocupação necessária diante do adoecimento psíquico nessa população. Diante dos elevados índices de adoecimento mental entre estudantes de medicina e das diferenças observadas entre os métodos de ensino, o presente estudo busca avaliar o nível de saúde mental e as possíveis variações relacionadas aos diferentes modelos pedagógicos adotados na Universidade do Sul de Santa Catarina (UNISUL) – campus Tubarão.</w:t>
      </w:r>
    </w:p>
    <w:p w:rsidR="00000000" w:rsidDel="00000000" w:rsidP="00000000" w:rsidRDefault="00000000" w:rsidRPr="00000000" w14:paraId="00000018">
      <w:pPr>
        <w:spacing w:before="0" w:line="360" w:lineRule="auto"/>
        <w:jc w:val="both"/>
        <w:rPr>
          <w:b w:val="1"/>
          <w:bCs w:val="1"/>
          <w:sz w:val="24"/>
          <w:szCs w:val="24"/>
          <w:highlight w:val="white"/>
        </w:rPr>
      </w:pPr>
      <w:r w:rsidDel="00000000" w:rsidR="00000000" w:rsidRPr="00000000">
        <w:rPr>
          <w:rtl w:val="0"/>
        </w:rPr>
      </w:r>
    </w:p>
    <w:p w:rsidR="00000000" w:rsidDel="00000000" w:rsidP="00000000" w:rsidRDefault="00000000" w:rsidRPr="00000000" w14:paraId="00000019">
      <w:pPr>
        <w:spacing w:before="0" w:line="360" w:lineRule="auto"/>
        <w:jc w:val="both"/>
        <w:rPr>
          <w:b w:val="1"/>
          <w:bCs w:val="1"/>
          <w:sz w:val="24"/>
          <w:szCs w:val="24"/>
          <w:highlight w:val="white"/>
        </w:rPr>
      </w:pPr>
      <w:r w:rsidDel="00000000" w:rsidR="00000000" w:rsidRPr="00000000">
        <w:rPr>
          <w:b w:val="1"/>
          <w:bCs w:val="1"/>
          <w:sz w:val="24"/>
          <w:szCs w:val="24"/>
          <w:highlight w:val="white"/>
          <w:rtl w:val="0"/>
        </w:rPr>
        <w:t xml:space="preserve">MÉTODOS</w:t>
      </w:r>
    </w:p>
    <w:p w:rsidR="00000000" w:rsidDel="00000000" w:rsidP="00000000" w:rsidRDefault="00000000" w:rsidRPr="00000000" w14:paraId="0000001A">
      <w:pPr>
        <w:spacing w:before="0" w:line="360" w:lineRule="auto"/>
        <w:jc w:val="both"/>
        <w:rPr>
          <w:sz w:val="24"/>
          <w:szCs w:val="24"/>
          <w:highlight w:val="white"/>
        </w:rPr>
      </w:pPr>
      <w:r w:rsidDel="00000000" w:rsidR="00000000" w:rsidRPr="00000000">
        <w:rPr>
          <w:sz w:val="24"/>
          <w:szCs w:val="24"/>
          <w:highlight w:val="white"/>
          <w:rtl w:val="0"/>
        </w:rPr>
        <w:t xml:space="preserve">Trata-se de um estudo observacional com delineamento transversal, realizado por meio da aplicação de um questionário digital aos alunos do curso de Medicina da Universidade do Sul de Santa Catarina (UNISUL), campus Tubarão.</w:t>
      </w:r>
    </w:p>
    <w:p w:rsidR="00000000" w:rsidDel="00000000" w:rsidP="00000000" w:rsidRDefault="00000000" w:rsidRPr="00000000" w14:paraId="0000001B">
      <w:pPr>
        <w:spacing w:before="0" w:line="360" w:lineRule="auto"/>
        <w:jc w:val="both"/>
        <w:rPr>
          <w:sz w:val="24"/>
          <w:szCs w:val="24"/>
          <w:highlight w:val="white"/>
        </w:rPr>
      </w:pPr>
      <w:r w:rsidDel="00000000" w:rsidR="00000000" w:rsidRPr="00000000">
        <w:rPr>
          <w:sz w:val="24"/>
          <w:szCs w:val="24"/>
          <w:highlight w:val="white"/>
          <w:rtl w:val="0"/>
        </w:rPr>
        <w:t xml:space="preserve">Foram incluídos no estudo todos os acadêmicos regularmente matriculados entre a terceira e a última fase do curso de Medicina da UNISUL – campus Tubarão. A participação foi voluntária, mediante aceite do Termo de Consentimento Livre e Esclarecido (TCLE).</w:t>
      </w:r>
    </w:p>
    <w:p w:rsidR="00000000" w:rsidDel="00000000" w:rsidP="00000000" w:rsidRDefault="00000000" w:rsidRPr="00000000" w14:paraId="0000001C">
      <w:pPr>
        <w:spacing w:before="0" w:line="360" w:lineRule="auto"/>
        <w:jc w:val="both"/>
        <w:rPr>
          <w:sz w:val="24"/>
          <w:szCs w:val="24"/>
          <w:highlight w:val="white"/>
        </w:rPr>
      </w:pPr>
      <w:r w:rsidDel="00000000" w:rsidR="00000000" w:rsidRPr="00000000">
        <w:rPr>
          <w:sz w:val="24"/>
          <w:szCs w:val="24"/>
          <w:highlight w:val="white"/>
          <w:rtl w:val="0"/>
        </w:rPr>
        <w:t xml:space="preserve">O projeto foi aprovado pelo Comitê de Ética em Pesquisa (CEP) da Universidade do Sul de Santa Catarina. A coleta de dados ocorreu por meio de um questionário eletrônico elaborado pelos pesquisadores na plataforma Google Forms, composto por questões sociodemográficas, histórico médico, uso de medicações, hábitos de vida e informações sobre a forma de ingresso na universidade, além do </w:t>
      </w:r>
      <w:r w:rsidDel="00000000" w:rsidR="00000000" w:rsidRPr="00000000">
        <w:rPr>
          <w:i w:val="1"/>
          <w:iCs w:val="1"/>
          <w:sz w:val="24"/>
          <w:szCs w:val="24"/>
          <w:highlight w:val="white"/>
          <w:rtl w:val="0"/>
        </w:rPr>
        <w:t xml:space="preserve">Self-Reporting Questionnaire</w:t>
      </w:r>
      <w:r w:rsidDel="00000000" w:rsidR="00000000" w:rsidRPr="00000000">
        <w:rPr>
          <w:sz w:val="24"/>
          <w:szCs w:val="24"/>
          <w:highlight w:val="white"/>
          <w:rtl w:val="0"/>
        </w:rPr>
        <w:t xml:space="preserve"> (SRQ-20).</w:t>
      </w:r>
    </w:p>
    <w:p w:rsidR="00000000" w:rsidDel="00000000" w:rsidP="00000000" w:rsidRDefault="00000000" w:rsidRPr="00000000" w14:paraId="0000001D">
      <w:pPr>
        <w:spacing w:before="0" w:line="360" w:lineRule="auto"/>
        <w:jc w:val="both"/>
        <w:rPr>
          <w:sz w:val="24"/>
          <w:szCs w:val="24"/>
          <w:highlight w:val="white"/>
        </w:rPr>
      </w:pPr>
      <w:r w:rsidDel="00000000" w:rsidR="00000000" w:rsidRPr="00000000">
        <w:rPr>
          <w:sz w:val="24"/>
          <w:szCs w:val="24"/>
          <w:highlight w:val="white"/>
          <w:rtl w:val="0"/>
        </w:rPr>
        <w:t xml:space="preserve">O SRQ-20 é uma escala validada pela Organização Mundial da Saúde (OMS) utilizada em serviços de atenção básica para rastrear indicadores de transtornos mentais comuns (TMC). No presente estudo, o instrumento foi adaptado para contemplar aspectos relacionados à metodologia de ensino e seus possíveis impactos sobre a saúde mental dos estudantes.</w:t>
      </w:r>
    </w:p>
    <w:p w:rsidR="00000000" w:rsidDel="00000000" w:rsidP="00000000" w:rsidRDefault="00000000" w:rsidRPr="00000000" w14:paraId="0000001E">
      <w:pPr>
        <w:spacing w:before="0" w:line="360" w:lineRule="auto"/>
        <w:jc w:val="both"/>
        <w:rPr>
          <w:sz w:val="24"/>
          <w:szCs w:val="24"/>
          <w:highlight w:val="white"/>
        </w:rPr>
      </w:pPr>
      <w:r w:rsidDel="00000000" w:rsidR="00000000" w:rsidRPr="00000000">
        <w:rPr>
          <w:sz w:val="24"/>
          <w:szCs w:val="24"/>
          <w:highlight w:val="white"/>
          <w:rtl w:val="0"/>
        </w:rPr>
        <w:t xml:space="preserve">As perguntas do questionário incluíram itens com respostas dicotômicas (sim/não) e escalas de satisfação relacionadas ao modelo de ensino vivenciado (satisfatório/insatisfatório). Também foram abordados o desenvolvimento de sintomas psíquicos ao longo da formação, a presença de comorbidades pré-existentes e dados pessoais relevantes à análise.</w:t>
      </w:r>
    </w:p>
    <w:p w:rsidR="00000000" w:rsidDel="00000000" w:rsidP="00000000" w:rsidRDefault="00000000" w:rsidRPr="00000000" w14:paraId="0000001F">
      <w:pPr>
        <w:spacing w:before="0" w:line="360" w:lineRule="auto"/>
        <w:jc w:val="both"/>
        <w:rPr>
          <w:sz w:val="24"/>
          <w:szCs w:val="24"/>
          <w:highlight w:val="white"/>
        </w:rPr>
      </w:pPr>
      <w:r w:rsidDel="00000000" w:rsidR="00000000" w:rsidRPr="00000000">
        <w:rPr>
          <w:sz w:val="24"/>
          <w:szCs w:val="24"/>
          <w:highlight w:val="white"/>
          <w:rtl w:val="0"/>
        </w:rPr>
        <w:t xml:space="preserve">O link para o questionário foi disponibilizado aos alunos por meio dos grupos de WhatsApp institucionais de cada turma. As respostas foram registradas de forma anônima, sem limitação de tempo para o preenchimento, garantindo confidencialidade e autenticidade nas informações fornecidas.</w:t>
      </w:r>
    </w:p>
    <w:p w:rsidR="00000000" w:rsidDel="00000000" w:rsidP="00000000" w:rsidRDefault="00000000" w:rsidRPr="00000000" w14:paraId="00000020">
      <w:pPr>
        <w:spacing w:line="360" w:lineRule="auto"/>
        <w:jc w:val="both"/>
        <w:rPr>
          <w:sz w:val="24"/>
          <w:szCs w:val="24"/>
          <w:highlight w:val="white"/>
        </w:rPr>
      </w:pPr>
      <w:r w:rsidDel="00000000" w:rsidR="00000000" w:rsidRPr="00000000">
        <w:rPr>
          <w:sz w:val="24"/>
          <w:szCs w:val="24"/>
          <w:highlight w:val="white"/>
          <w:rtl w:val="0"/>
        </w:rPr>
        <w:t xml:space="preserve">A análise estatística teve como objetivo caracterizar o perfil sociodemográfico dos participantes e investigar possíveis associações entre variáveis relacionadas à saúde mental e o método de ensino adotado.</w:t>
      </w:r>
    </w:p>
    <w:p w:rsidR="00000000" w:rsidDel="00000000" w:rsidP="00000000" w:rsidRDefault="00000000" w:rsidRPr="00000000" w14:paraId="00000021">
      <w:pPr>
        <w:spacing w:line="360" w:lineRule="auto"/>
        <w:jc w:val="both"/>
        <w:rPr>
          <w:sz w:val="24"/>
          <w:szCs w:val="24"/>
          <w:highlight w:val="white"/>
        </w:rPr>
      </w:pPr>
      <w:r w:rsidDel="00000000" w:rsidR="00000000" w:rsidRPr="00000000">
        <w:rPr>
          <w:sz w:val="24"/>
          <w:szCs w:val="24"/>
          <w:highlight w:val="white"/>
          <w:rtl w:val="0"/>
        </w:rPr>
        <w:t xml:space="preserve">Inicialmente, realizou-se uma análise descritiva das variáveis categóricas e binárias, apresentadas em frequências absolutas (n) e relativas (%). As variáveis quantitativas foram descritas por média, mediana, desvio padrão, valores mínimo e máximo e intervalo interquartil (IQR).</w:t>
      </w:r>
    </w:p>
    <w:p w:rsidR="00000000" w:rsidDel="00000000" w:rsidP="00000000" w:rsidRDefault="00000000" w:rsidRPr="00000000" w14:paraId="00000022">
      <w:pPr>
        <w:spacing w:line="360" w:lineRule="auto"/>
        <w:jc w:val="both"/>
        <w:rPr>
          <w:sz w:val="24"/>
          <w:szCs w:val="24"/>
          <w:highlight w:val="white"/>
        </w:rPr>
      </w:pPr>
      <w:r w:rsidDel="00000000" w:rsidR="00000000" w:rsidRPr="00000000">
        <w:rPr>
          <w:sz w:val="24"/>
          <w:szCs w:val="24"/>
          <w:highlight w:val="white"/>
          <w:rtl w:val="0"/>
        </w:rPr>
        <w:t xml:space="preserve">Para a comparação entre grupos, foram aplicados testes não paramétricos devido à natureza das variáveis e à ausência de distribuição normal dos dados. As associações entre o método de ensino e a presença de sintomas de ansiedade foram verificadas pelo teste do qui-quadrado de Pearson, com correção de continuidade de Yates e confirmação pelo teste exato de Fisher. A força da associação foi estimada pelo V de Cramér.</w:t>
      </w:r>
    </w:p>
    <w:p w:rsidR="00000000" w:rsidDel="00000000" w:rsidP="00000000" w:rsidRDefault="00000000" w:rsidRPr="00000000" w14:paraId="00000023">
      <w:pPr>
        <w:spacing w:line="360" w:lineRule="auto"/>
        <w:jc w:val="both"/>
        <w:rPr>
          <w:sz w:val="24"/>
          <w:szCs w:val="24"/>
          <w:highlight w:val="white"/>
        </w:rPr>
      </w:pPr>
      <w:r w:rsidDel="00000000" w:rsidR="00000000" w:rsidRPr="00000000">
        <w:rPr>
          <w:sz w:val="24"/>
          <w:szCs w:val="24"/>
          <w:highlight w:val="white"/>
          <w:rtl w:val="0"/>
        </w:rPr>
        <w:t xml:space="preserve">A correlação entre idade e escore total do SRQ-20 foi avaliada por meio do coeficiente de Spearman. Diferenças entre os sexos em relação ao SRQ-20 foram analisadas pelo teste de Mann-Whitney, enquanto a associação entre sexo e presença de transtorno mental comum (TMC) foi verificada pelo teste do qui-quadrado.</w:t>
      </w:r>
    </w:p>
    <w:p w:rsidR="00000000" w:rsidDel="00000000" w:rsidP="00000000" w:rsidRDefault="00000000" w:rsidRPr="00000000" w14:paraId="00000024">
      <w:pPr>
        <w:spacing w:line="360" w:lineRule="auto"/>
        <w:jc w:val="both"/>
        <w:rPr>
          <w:sz w:val="24"/>
          <w:szCs w:val="24"/>
          <w:highlight w:val="white"/>
        </w:rPr>
      </w:pPr>
      <w:r w:rsidDel="00000000" w:rsidR="00000000" w:rsidRPr="00000000">
        <w:rPr>
          <w:sz w:val="24"/>
          <w:szCs w:val="24"/>
          <w:highlight w:val="white"/>
          <w:rtl w:val="0"/>
        </w:rPr>
        <w:t xml:space="preserve">Todas as análises foram realizadas no software Jamovi, utilizando fórmulas estatísticas integradas e recursos de tabela dinâmica. O nível de significância adotado foi de 5% (p &lt; 0,05).</w:t>
      </w:r>
    </w:p>
    <w:p w:rsidR="00000000" w:rsidDel="00000000" w:rsidP="00000000" w:rsidRDefault="00000000" w:rsidRPr="00000000" w14:paraId="00000025">
      <w:pPr>
        <w:spacing w:before="0" w:line="36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6">
      <w:pPr>
        <w:spacing w:after="0" w:before="0" w:line="360" w:lineRule="auto"/>
        <w:jc w:val="both"/>
        <w:rPr>
          <w:b w:val="1"/>
          <w:bCs w:val="1"/>
          <w:sz w:val="24"/>
          <w:szCs w:val="24"/>
          <w:highlight w:val="white"/>
        </w:rPr>
      </w:pPr>
      <w:r w:rsidDel="00000000" w:rsidR="00000000" w:rsidRPr="00000000">
        <w:rPr>
          <w:b w:val="1"/>
          <w:bCs w:val="1"/>
          <w:sz w:val="24"/>
          <w:szCs w:val="24"/>
          <w:highlight w:val="white"/>
          <w:rtl w:val="0"/>
        </w:rPr>
        <w:t xml:space="preserve">RESULTADOS E DISCUSSÕES</w:t>
      </w:r>
    </w:p>
    <w:p w:rsidR="00000000" w:rsidDel="00000000" w:rsidP="00000000" w:rsidRDefault="00000000" w:rsidRPr="00000000" w14:paraId="00000027">
      <w:pPr>
        <w:spacing w:after="0" w:before="0" w:line="360" w:lineRule="auto"/>
        <w:jc w:val="both"/>
        <w:rPr>
          <w:sz w:val="24"/>
          <w:szCs w:val="24"/>
          <w:highlight w:val="white"/>
        </w:rPr>
      </w:pPr>
      <w:r w:rsidDel="00000000" w:rsidR="00000000" w:rsidRPr="00000000">
        <w:rPr>
          <w:sz w:val="24"/>
          <w:szCs w:val="24"/>
          <w:highlight w:val="white"/>
          <w:rtl w:val="0"/>
        </w:rPr>
        <w:t xml:space="preserve">Foram avaliados 162 estudantes do curso de Medicina, sendo 63 pertencentes ao grupo do método tradicional e 89 ao grupo do método baseado em problemas (PBL). Em ambos os grupos, observou-se predominância do sexo feminino — 48 (65,75%) no modelo tradicional e 71 (79,78%) no PBL —, com idade média de 24,74 e 23,03 anos, respectivamente.</w:t>
      </w:r>
    </w:p>
    <w:p w:rsidR="00000000" w:rsidDel="00000000" w:rsidP="00000000" w:rsidRDefault="00000000" w:rsidRPr="00000000" w14:paraId="00000028">
      <w:pPr>
        <w:spacing w:after="0" w:before="0" w:line="360" w:lineRule="auto"/>
        <w:jc w:val="both"/>
        <w:rPr>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A análise de associação entre o método de ensino e a presença de sintomas de ansiedade revelou diferenças estatisticamente significativas entre os grupos. O teste do qui-quadrado de Pearson indicou associação significativa (χ²(1, N = 162) = 6,02; p = 0,014), confirmada após correção de continuidade de Yates (χ²(1, N = 162) = 5,27; p = 0,022) e pelo teste exato de Fisher (p = 0,018). O valor do V de Cramér (0,193) apontou associação de baixa magnitude, mas consistente, entre o método de ensino e a presença de sintomas de ansiedade. Assim, estudantes do PBL apresentaram maior proporção de escores indicativos de possível transtorno mental comum (SRQ-20 ≥ 7) em comparação aos do método tradicional.</w:t>
      </w:r>
    </w:p>
    <w:p w:rsidR="00000000" w:rsidDel="00000000" w:rsidP="00000000" w:rsidRDefault="00000000" w:rsidRPr="00000000" w14:paraId="00000029">
      <w:pPr>
        <w:spacing w:after="0" w:before="0" w:line="360" w:lineRule="auto"/>
        <w:jc w:val="both"/>
        <w:rPr>
          <w:sz w:val="24"/>
          <w:szCs w:val="24"/>
          <w:highlight w:val="white"/>
        </w:rPr>
      </w:pPr>
      <w:r w:rsidDel="00000000" w:rsidR="00000000" w:rsidRPr="00000000">
        <w:rPr>
          <w:sz w:val="24"/>
          <w:szCs w:val="24"/>
          <w:highlight w:val="white"/>
          <w:rtl w:val="0"/>
        </w:rPr>
        <w:t xml:space="preserve">Os escores obtidos no </w:t>
      </w:r>
      <w:r w:rsidDel="00000000" w:rsidR="00000000" w:rsidRPr="00000000">
        <w:rPr>
          <w:i w:val="1"/>
          <w:iCs w:val="1"/>
          <w:sz w:val="24"/>
          <w:szCs w:val="24"/>
          <w:highlight w:val="white"/>
          <w:rtl w:val="0"/>
        </w:rPr>
        <w:t xml:space="preserve">Self-Reporting Questionnaire</w:t>
      </w:r>
      <w:r w:rsidDel="00000000" w:rsidR="00000000" w:rsidRPr="00000000">
        <w:rPr>
          <w:sz w:val="24"/>
          <w:szCs w:val="24"/>
          <w:highlight w:val="white"/>
          <w:rtl w:val="0"/>
        </w:rPr>
        <w:t xml:space="preserve"> (SRQ-20) apresentaram mediana de 5 pontos entre os estudantes do método tradicional e 9 pontos entre os do PBL, com intervalos interquartis de 7 e 8, respectivamente, indicando maior presença de sintomas compatíveis com transtornos mentais comuns entre os alunos do modelo PBL.</w:t>
      </w:r>
    </w:p>
    <w:p w:rsidR="00000000" w:rsidDel="00000000" w:rsidP="00000000" w:rsidRDefault="00000000" w:rsidRPr="00000000" w14:paraId="0000002A">
      <w:pPr>
        <w:spacing w:after="0" w:before="0" w:line="360" w:lineRule="auto"/>
        <w:jc w:val="both"/>
        <w:rPr>
          <w:sz w:val="24"/>
          <w:szCs w:val="24"/>
          <w:highlight w:val="white"/>
        </w:rPr>
      </w:pPr>
      <w:r w:rsidDel="00000000" w:rsidR="00000000" w:rsidRPr="00000000">
        <w:rPr>
          <w:sz w:val="24"/>
          <w:szCs w:val="24"/>
          <w:highlight w:val="white"/>
          <w:rtl w:val="0"/>
        </w:rPr>
        <w:t xml:space="preserve">Esses achados corroboram a literatura que descreve níveis mais elevados de ansiedade entre estudantes inseridos no PBL, possivelmente relacionados à maior exigência de autonomia, à menor estruturação do processo de ensino e à incerteza sobre expectativas e desempenho (Avraam et al., 2025; Lewis et al., 2009). Torres et al. (2019) já destacavam que a transição para metodologias ativas pode gerar sentimentos de insegurança e frustração, especialmente quando não há suporte pedagógico adequado.</w:t>
      </w:r>
    </w:p>
    <w:p w:rsidR="00000000" w:rsidDel="00000000" w:rsidP="00000000" w:rsidRDefault="00000000" w:rsidRPr="00000000" w14:paraId="0000002B">
      <w:pPr>
        <w:spacing w:after="0" w:before="0" w:line="360" w:lineRule="auto"/>
        <w:jc w:val="both"/>
        <w:rPr>
          <w:sz w:val="24"/>
          <w:szCs w:val="24"/>
          <w:highlight w:val="white"/>
        </w:rPr>
      </w:pPr>
      <w:r w:rsidDel="00000000" w:rsidR="00000000" w:rsidRPr="00000000">
        <w:rPr>
          <w:sz w:val="24"/>
          <w:szCs w:val="24"/>
          <w:highlight w:val="white"/>
          <w:rtl w:val="0"/>
        </w:rPr>
        <w:t xml:space="preserve">Além disso, observou-se que estudantes do sexo feminino apresentaram maior proporção de escores indicativos de possível transtorno mental comum em comparação aos do sexo masculino, resultado consistente com achados prévios que apontam maior prevalência de sintomas ansiosos e depressivos entre mulheres (Jestin et al., 2023; Firdausy et al., 2025; Mendonça et al., 2024). Esses resultados reforçam a importância de considerar o gênero como variável significativa na análise da saúde mental discente.</w:t>
      </w:r>
    </w:p>
    <w:p w:rsidR="00000000" w:rsidDel="00000000" w:rsidP="00000000" w:rsidRDefault="00000000" w:rsidRPr="00000000" w14:paraId="0000002C">
      <w:pPr>
        <w:spacing w:after="0" w:before="0" w:line="360" w:lineRule="auto"/>
        <w:jc w:val="both"/>
        <w:rPr>
          <w:sz w:val="24"/>
          <w:szCs w:val="24"/>
          <w:highlight w:val="white"/>
        </w:rPr>
      </w:pPr>
      <w:r w:rsidDel="00000000" w:rsidR="00000000" w:rsidRPr="00000000">
        <w:rPr>
          <w:sz w:val="24"/>
          <w:szCs w:val="24"/>
          <w:highlight w:val="white"/>
          <w:rtl w:val="0"/>
        </w:rPr>
        <w:t xml:space="preserve">Embora o PBL promova protagonismo e engajamento ativo, o presente estudo sugere que, na ausência de estratégias institucionais de apoio emocional e acompanhamento próximo, a autonomia exigida pode se tornar um fator de estresse adicional. Tal achado se alinha a Jestin et al. (2023), que observaram que os efeitos do PBL sobre a saúde mental variam conforme o contexto institucional e a rede de suporte oferecida aos estudantes. Dessa forma, a implementação de metodologias ativas deve vir acompanhada de tutoria estruturada e suporte psicopedagógico para evitar o agravamento de sintomas ansiosos e depressivos.</w:t>
      </w:r>
    </w:p>
    <w:p w:rsidR="00000000" w:rsidDel="00000000" w:rsidP="00000000" w:rsidRDefault="00000000" w:rsidRPr="00000000" w14:paraId="0000002D">
      <w:pPr>
        <w:spacing w:after="0" w:before="0" w:line="360" w:lineRule="auto"/>
        <w:jc w:val="both"/>
        <w:rPr>
          <w:sz w:val="24"/>
          <w:szCs w:val="24"/>
          <w:highlight w:val="white"/>
        </w:rPr>
      </w:pPr>
      <w:r w:rsidDel="00000000" w:rsidR="00000000" w:rsidRPr="00000000">
        <w:rPr>
          <w:sz w:val="24"/>
          <w:szCs w:val="24"/>
          <w:highlight w:val="white"/>
          <w:rtl w:val="0"/>
        </w:rPr>
        <w:t xml:space="preserve">Não foi observada correlação significativa entre idade e o somatório do SRQ-20 (Rs = –0,08; p = 0,270), sugerindo que a idade não exerceu influência relevante sobre os níveis de sofrimento psíquico. Alguns estudos demonstram que em termos populacionais, faixas etárias mais jovens (adolescentes/jovens adultos) carregam grande parte da prevalência de transtornos mentais (Solmi et al., 2022). Porém, em amostras universitárias com variação etária pequena, a relação linear entre idade e escore SRQ-20 pode não se materializar.</w:t>
      </w:r>
    </w:p>
    <w:p w:rsidR="00000000" w:rsidDel="00000000" w:rsidP="00000000" w:rsidRDefault="00000000" w:rsidRPr="00000000" w14:paraId="0000002E">
      <w:pPr>
        <w:spacing w:after="0" w:before="0" w:line="360" w:lineRule="auto"/>
        <w:jc w:val="both"/>
        <w:rPr>
          <w:b w:val="1"/>
          <w:bCs w:val="1"/>
          <w:sz w:val="24"/>
          <w:szCs w:val="24"/>
          <w:highlight w:val="white"/>
        </w:rPr>
      </w:pPr>
      <w:r w:rsidDel="00000000" w:rsidR="00000000" w:rsidRPr="00000000">
        <w:rPr>
          <w:rtl w:val="0"/>
        </w:rPr>
      </w:r>
    </w:p>
    <w:p w:rsidR="00000000" w:rsidDel="00000000" w:rsidP="00000000" w:rsidRDefault="00000000" w:rsidRPr="00000000" w14:paraId="0000002F">
      <w:pPr>
        <w:spacing w:after="0" w:before="0" w:line="360" w:lineRule="auto"/>
        <w:jc w:val="both"/>
        <w:rPr>
          <w:b w:val="1"/>
          <w:bCs w:val="1"/>
          <w:sz w:val="24"/>
          <w:szCs w:val="24"/>
          <w:highlight w:val="white"/>
        </w:rPr>
      </w:pPr>
      <w:r w:rsidDel="00000000" w:rsidR="00000000" w:rsidRPr="00000000">
        <w:rPr>
          <w:b w:val="1"/>
          <w:bCs w:val="1"/>
          <w:sz w:val="24"/>
          <w:szCs w:val="24"/>
          <w:highlight w:val="white"/>
          <w:rtl w:val="0"/>
        </w:rPr>
        <w:t xml:space="preserve">CONCLUSÕES</w:t>
      </w:r>
    </w:p>
    <w:p w:rsidR="00000000" w:rsidDel="00000000" w:rsidP="00000000" w:rsidRDefault="00000000" w:rsidRPr="00000000" w14:paraId="00000030">
      <w:pPr>
        <w:spacing w:after="240" w:before="0" w:line="360" w:lineRule="auto"/>
        <w:jc w:val="both"/>
        <w:rPr>
          <w:sz w:val="24"/>
          <w:szCs w:val="24"/>
          <w:highlight w:val="white"/>
        </w:rPr>
      </w:pPr>
      <w:r w:rsidDel="00000000" w:rsidR="00000000" w:rsidRPr="00000000">
        <w:rPr>
          <w:sz w:val="24"/>
          <w:szCs w:val="24"/>
          <w:highlight w:val="white"/>
          <w:rtl w:val="0"/>
        </w:rPr>
        <w:t xml:space="preserve">Os resultados indicam que, embora o PBL estimule autonomia e aprendizado ativo, a adaptação a esse modelo pode gerar sofrimento psíquico superior ao observado no ensino tradicional, independente da idade dos acadêmicos, mas afetando principalmente as acadêmicas mulheres. Estratégias institucionais voltadas à promoção da saúde mental, à orientação acadêmica e ao suporte psicopedagógico são essenciais para minimizar os impactos emocionais do processo formativo e favorecer o desenvolvimento integral dos futuros médicos.</w:t>
      </w:r>
    </w:p>
    <w:p w:rsidR="00000000" w:rsidDel="00000000" w:rsidP="00000000" w:rsidRDefault="00000000" w:rsidRPr="00000000" w14:paraId="00000031">
      <w:pPr>
        <w:spacing w:after="240" w:before="0" w:lineRule="auto"/>
        <w:jc w:val="both"/>
        <w:rPr>
          <w:sz w:val="24"/>
          <w:szCs w:val="24"/>
          <w:highlight w:val="white"/>
        </w:rPr>
      </w:pPr>
      <w:r w:rsidDel="00000000" w:rsidR="00000000" w:rsidRPr="00000000">
        <w:rPr>
          <w:b w:val="1"/>
          <w:bCs w:val="1"/>
          <w:sz w:val="24"/>
          <w:szCs w:val="24"/>
          <w:highlight w:val="white"/>
          <w:rtl w:val="0"/>
        </w:rPr>
        <w:t xml:space="preserve">REFERÊNCIAS</w:t>
      </w:r>
      <w:r w:rsidDel="00000000" w:rsidR="00000000" w:rsidRPr="00000000">
        <w:rPr>
          <w:rtl w:val="0"/>
        </w:rPr>
      </w:r>
    </w:p>
    <w:p w:rsidR="00000000" w:rsidDel="00000000" w:rsidP="00000000" w:rsidRDefault="00000000" w:rsidRPr="00000000" w14:paraId="00000032">
      <w:pPr>
        <w:spacing w:after="240" w:before="240" w:lineRule="auto"/>
        <w:jc w:val="both"/>
        <w:rPr>
          <w:sz w:val="24"/>
          <w:szCs w:val="24"/>
          <w:highlight w:val="white"/>
        </w:rPr>
      </w:pPr>
      <w:r w:rsidDel="00000000" w:rsidR="00000000" w:rsidRPr="00000000">
        <w:rPr>
          <w:sz w:val="24"/>
          <w:szCs w:val="24"/>
          <w:highlight w:val="white"/>
          <w:rtl w:val="0"/>
        </w:rPr>
        <w:t xml:space="preserve">AVRAAM, T. et al. Problem-based learning and anxiety among medical students: a cross-sectional analysis. </w:t>
      </w:r>
      <w:r w:rsidDel="00000000" w:rsidR="00000000" w:rsidRPr="00000000">
        <w:rPr>
          <w:i w:val="1"/>
          <w:iCs w:val="1"/>
          <w:sz w:val="24"/>
          <w:szCs w:val="24"/>
          <w:highlight w:val="white"/>
          <w:rtl w:val="0"/>
        </w:rPr>
        <w:t xml:space="preserve">BMC Medical Education</w:t>
      </w:r>
      <w:r w:rsidDel="00000000" w:rsidR="00000000" w:rsidRPr="00000000">
        <w:rPr>
          <w:sz w:val="24"/>
          <w:szCs w:val="24"/>
          <w:highlight w:val="white"/>
          <w:rtl w:val="0"/>
        </w:rPr>
        <w:t xml:space="preserve">, v. 25, n. 112, 2025.</w:t>
      </w:r>
    </w:p>
    <w:p w:rsidR="00000000" w:rsidDel="00000000" w:rsidP="00000000" w:rsidRDefault="00000000" w:rsidRPr="00000000" w14:paraId="00000033">
      <w:pPr>
        <w:spacing w:after="240" w:before="240" w:lineRule="auto"/>
        <w:jc w:val="both"/>
        <w:rPr>
          <w:sz w:val="24"/>
          <w:szCs w:val="24"/>
          <w:highlight w:val="white"/>
        </w:rPr>
      </w:pPr>
      <w:r w:rsidDel="00000000" w:rsidR="00000000" w:rsidRPr="00000000">
        <w:rPr>
          <w:sz w:val="24"/>
          <w:szCs w:val="24"/>
          <w:highlight w:val="white"/>
          <w:rtl w:val="0"/>
        </w:rPr>
        <w:t xml:space="preserve">FIRDAUSY, R. R.; WARDANI, R. M. L.; PRAMESONA, B. A. Gender differences in anxiety and depression among health students. </w:t>
      </w:r>
      <w:r w:rsidDel="00000000" w:rsidR="00000000" w:rsidRPr="00000000">
        <w:rPr>
          <w:i w:val="1"/>
          <w:iCs w:val="1"/>
          <w:sz w:val="24"/>
          <w:szCs w:val="24"/>
          <w:highlight w:val="white"/>
          <w:rtl w:val="0"/>
        </w:rPr>
        <w:t xml:space="preserve">Frontiers in Psychology</w:t>
      </w:r>
      <w:r w:rsidDel="00000000" w:rsidR="00000000" w:rsidRPr="00000000">
        <w:rPr>
          <w:sz w:val="24"/>
          <w:szCs w:val="24"/>
          <w:highlight w:val="white"/>
          <w:rtl w:val="0"/>
        </w:rPr>
        <w:t xml:space="preserve">, v. 16, 2025.</w:t>
      </w:r>
    </w:p>
    <w:p w:rsidR="00000000" w:rsidDel="00000000" w:rsidP="00000000" w:rsidRDefault="00000000" w:rsidRPr="00000000" w14:paraId="00000034">
      <w:pPr>
        <w:spacing w:after="240" w:before="240" w:lineRule="auto"/>
        <w:jc w:val="both"/>
        <w:rPr>
          <w:sz w:val="24"/>
          <w:szCs w:val="24"/>
          <w:highlight w:val="white"/>
        </w:rPr>
      </w:pPr>
      <w:r w:rsidDel="00000000" w:rsidR="00000000" w:rsidRPr="00000000">
        <w:rPr>
          <w:sz w:val="24"/>
          <w:szCs w:val="24"/>
          <w:highlight w:val="white"/>
          <w:rtl w:val="0"/>
        </w:rPr>
        <w:t xml:space="preserve">FUSAR-POLI, P. et al. What is good mental health? A scoping review. </w:t>
      </w:r>
      <w:r w:rsidDel="00000000" w:rsidR="00000000" w:rsidRPr="00000000">
        <w:rPr>
          <w:i w:val="1"/>
          <w:iCs w:val="1"/>
          <w:sz w:val="24"/>
          <w:szCs w:val="24"/>
          <w:highlight w:val="white"/>
          <w:rtl w:val="0"/>
        </w:rPr>
        <w:t xml:space="preserve">European Psychiatry</w:t>
      </w:r>
      <w:r w:rsidDel="00000000" w:rsidR="00000000" w:rsidRPr="00000000">
        <w:rPr>
          <w:sz w:val="24"/>
          <w:szCs w:val="24"/>
          <w:highlight w:val="white"/>
          <w:rtl w:val="0"/>
        </w:rPr>
        <w:t xml:space="preserve">, v. 63, n. 1, p. 1-8, 2020.</w:t>
      </w:r>
    </w:p>
    <w:p w:rsidR="00000000" w:rsidDel="00000000" w:rsidP="00000000" w:rsidRDefault="00000000" w:rsidRPr="00000000" w14:paraId="00000035">
      <w:pPr>
        <w:spacing w:after="240" w:before="240" w:lineRule="auto"/>
        <w:jc w:val="both"/>
        <w:rPr>
          <w:sz w:val="24"/>
          <w:szCs w:val="24"/>
          <w:highlight w:val="white"/>
        </w:rPr>
      </w:pPr>
      <w:r w:rsidDel="00000000" w:rsidR="00000000" w:rsidRPr="00000000">
        <w:rPr>
          <w:sz w:val="24"/>
          <w:szCs w:val="24"/>
          <w:highlight w:val="white"/>
          <w:rtl w:val="0"/>
        </w:rPr>
        <w:t xml:space="preserve">JESTIN, C. et al. Mental health and academic performance in medical students: the mediating role of teaching environment. </w:t>
      </w:r>
      <w:r w:rsidDel="00000000" w:rsidR="00000000" w:rsidRPr="00000000">
        <w:rPr>
          <w:i w:val="1"/>
          <w:iCs w:val="1"/>
          <w:sz w:val="24"/>
          <w:szCs w:val="24"/>
          <w:highlight w:val="white"/>
          <w:rtl w:val="0"/>
        </w:rPr>
        <w:t xml:space="preserve">Medical Education Online</w:t>
      </w:r>
      <w:r w:rsidDel="00000000" w:rsidR="00000000" w:rsidRPr="00000000">
        <w:rPr>
          <w:sz w:val="24"/>
          <w:szCs w:val="24"/>
          <w:highlight w:val="white"/>
          <w:rtl w:val="0"/>
        </w:rPr>
        <w:t xml:space="preserve">, v. 28, n. 1, 2023.</w:t>
      </w:r>
    </w:p>
    <w:p w:rsidR="00000000" w:rsidDel="00000000" w:rsidP="00000000" w:rsidRDefault="00000000" w:rsidRPr="00000000" w14:paraId="00000036">
      <w:pPr>
        <w:spacing w:after="240" w:before="240" w:lineRule="auto"/>
        <w:jc w:val="both"/>
        <w:rPr>
          <w:sz w:val="24"/>
          <w:szCs w:val="24"/>
          <w:highlight w:val="white"/>
        </w:rPr>
      </w:pPr>
      <w:r w:rsidDel="00000000" w:rsidR="00000000" w:rsidRPr="00000000">
        <w:rPr>
          <w:sz w:val="24"/>
          <w:szCs w:val="24"/>
          <w:highlight w:val="white"/>
          <w:rtl w:val="0"/>
        </w:rPr>
        <w:t xml:space="preserve">LEWIS, A. D. et al. A comparison of course-related stressors in undergraduate problem-based learning (PBL) versus non-PBL medical programmes. </w:t>
      </w:r>
      <w:r w:rsidDel="00000000" w:rsidR="00000000" w:rsidRPr="00000000">
        <w:rPr>
          <w:i w:val="1"/>
          <w:iCs w:val="1"/>
          <w:sz w:val="24"/>
          <w:szCs w:val="24"/>
          <w:highlight w:val="white"/>
          <w:rtl w:val="0"/>
        </w:rPr>
        <w:t xml:space="preserve">BMC Medical Education</w:t>
      </w:r>
      <w:r w:rsidDel="00000000" w:rsidR="00000000" w:rsidRPr="00000000">
        <w:rPr>
          <w:sz w:val="24"/>
          <w:szCs w:val="24"/>
          <w:highlight w:val="white"/>
          <w:rtl w:val="0"/>
        </w:rPr>
        <w:t xml:space="preserve">, v. 9, n. 1, p. 1-8, 2009.</w:t>
      </w:r>
    </w:p>
    <w:p w:rsidR="00000000" w:rsidDel="00000000" w:rsidP="00000000" w:rsidRDefault="00000000" w:rsidRPr="00000000" w14:paraId="00000037">
      <w:pPr>
        <w:spacing w:after="240" w:before="240" w:lineRule="auto"/>
        <w:jc w:val="both"/>
        <w:rPr>
          <w:sz w:val="24"/>
          <w:szCs w:val="24"/>
          <w:highlight w:val="white"/>
        </w:rPr>
      </w:pPr>
      <w:r w:rsidDel="00000000" w:rsidR="00000000" w:rsidRPr="00000000">
        <w:rPr>
          <w:sz w:val="24"/>
          <w:szCs w:val="24"/>
          <w:highlight w:val="white"/>
          <w:rtl w:val="0"/>
        </w:rPr>
        <w:t xml:space="preserve">MARQUES, M. E. et al. Metodologias ativas no ensino médico e sua influência sobre o bem-estar discente. </w:t>
      </w:r>
      <w:r w:rsidDel="00000000" w:rsidR="00000000" w:rsidRPr="00000000">
        <w:rPr>
          <w:i w:val="1"/>
          <w:iCs w:val="1"/>
          <w:sz w:val="24"/>
          <w:szCs w:val="24"/>
          <w:highlight w:val="white"/>
          <w:rtl w:val="0"/>
        </w:rPr>
        <w:t xml:space="preserve">Revista Brasileira de Educação Médica</w:t>
      </w:r>
      <w:r w:rsidDel="00000000" w:rsidR="00000000" w:rsidRPr="00000000">
        <w:rPr>
          <w:sz w:val="24"/>
          <w:szCs w:val="24"/>
          <w:highlight w:val="white"/>
          <w:rtl w:val="0"/>
        </w:rPr>
        <w:t xml:space="preserve">, v. 45, n. 2, p. 1-9, 2021.</w:t>
      </w:r>
    </w:p>
    <w:p w:rsidR="00000000" w:rsidDel="00000000" w:rsidP="00000000" w:rsidRDefault="00000000" w:rsidRPr="00000000" w14:paraId="00000038">
      <w:pPr>
        <w:spacing w:after="240" w:before="240" w:lineRule="auto"/>
        <w:jc w:val="both"/>
        <w:rPr>
          <w:sz w:val="24"/>
          <w:szCs w:val="24"/>
          <w:highlight w:val="white"/>
        </w:rPr>
      </w:pPr>
      <w:r w:rsidDel="00000000" w:rsidR="00000000" w:rsidRPr="00000000">
        <w:rPr>
          <w:sz w:val="24"/>
          <w:szCs w:val="24"/>
          <w:highlight w:val="white"/>
          <w:rtl w:val="0"/>
        </w:rPr>
        <w:t xml:space="preserve">MENDONÇA, L. S. et al. Prevalência de transtornos mentais comuns entre estudantes universitários brasileiros. </w:t>
      </w:r>
      <w:r w:rsidDel="00000000" w:rsidR="00000000" w:rsidRPr="00000000">
        <w:rPr>
          <w:i w:val="1"/>
          <w:iCs w:val="1"/>
          <w:sz w:val="24"/>
          <w:szCs w:val="24"/>
          <w:highlight w:val="white"/>
          <w:rtl w:val="0"/>
        </w:rPr>
        <w:t xml:space="preserve">Cadernos de Saúde Pública</w:t>
      </w:r>
      <w:r w:rsidDel="00000000" w:rsidR="00000000" w:rsidRPr="00000000">
        <w:rPr>
          <w:sz w:val="24"/>
          <w:szCs w:val="24"/>
          <w:highlight w:val="white"/>
          <w:rtl w:val="0"/>
        </w:rPr>
        <w:t xml:space="preserve">, v. 40, n. 2, p. 1-10, 2024.</w:t>
      </w:r>
    </w:p>
    <w:p w:rsidR="00000000" w:rsidDel="00000000" w:rsidP="00000000" w:rsidRDefault="00000000" w:rsidRPr="00000000" w14:paraId="00000039">
      <w:pPr>
        <w:spacing w:after="240" w:before="240" w:lineRule="auto"/>
        <w:jc w:val="both"/>
        <w:rPr>
          <w:sz w:val="24"/>
          <w:szCs w:val="24"/>
          <w:highlight w:val="white"/>
        </w:rPr>
      </w:pPr>
      <w:r w:rsidDel="00000000" w:rsidR="00000000" w:rsidRPr="00000000">
        <w:rPr>
          <w:sz w:val="24"/>
          <w:szCs w:val="24"/>
          <w:highlight w:val="white"/>
          <w:rtl w:val="0"/>
        </w:rPr>
        <w:t xml:space="preserve">SCHULTZ, K. et al. Mental health challenges among medical professionals: global perspectives. </w:t>
      </w:r>
      <w:r w:rsidDel="00000000" w:rsidR="00000000" w:rsidRPr="00000000">
        <w:rPr>
          <w:i w:val="1"/>
          <w:iCs w:val="1"/>
          <w:sz w:val="24"/>
          <w:szCs w:val="24"/>
          <w:highlight w:val="white"/>
          <w:rtl w:val="0"/>
        </w:rPr>
        <w:t xml:space="preserve">The Lancet Psychiatry</w:t>
      </w:r>
      <w:r w:rsidDel="00000000" w:rsidR="00000000" w:rsidRPr="00000000">
        <w:rPr>
          <w:sz w:val="24"/>
          <w:szCs w:val="24"/>
          <w:highlight w:val="white"/>
          <w:rtl w:val="0"/>
        </w:rPr>
        <w:t xml:space="preserve">, v. 12, n. 1, 2025.</w:t>
      </w:r>
    </w:p>
    <w:p w:rsidR="00000000" w:rsidDel="00000000" w:rsidP="00000000" w:rsidRDefault="00000000" w:rsidRPr="00000000" w14:paraId="0000003A">
      <w:pPr>
        <w:spacing w:after="240" w:before="240" w:lineRule="auto"/>
        <w:jc w:val="both"/>
        <w:rPr>
          <w:sz w:val="24"/>
          <w:szCs w:val="24"/>
          <w:highlight w:val="white"/>
        </w:rPr>
      </w:pPr>
      <w:r w:rsidDel="00000000" w:rsidR="00000000" w:rsidRPr="00000000">
        <w:rPr>
          <w:sz w:val="24"/>
          <w:szCs w:val="24"/>
          <w:highlight w:val="white"/>
          <w:rtl w:val="0"/>
        </w:rPr>
        <w:t xml:space="preserve">SILVA, R. L. et al. Health and learning: stress and mental disorders in medical students. </w:t>
      </w:r>
      <w:r w:rsidDel="00000000" w:rsidR="00000000" w:rsidRPr="00000000">
        <w:rPr>
          <w:i w:val="1"/>
          <w:iCs w:val="1"/>
          <w:sz w:val="24"/>
          <w:szCs w:val="24"/>
          <w:highlight w:val="white"/>
          <w:rtl w:val="0"/>
        </w:rPr>
        <w:t xml:space="preserve">Revista Brasileira de Psiquiatria</w:t>
      </w:r>
      <w:r w:rsidDel="00000000" w:rsidR="00000000" w:rsidRPr="00000000">
        <w:rPr>
          <w:sz w:val="24"/>
          <w:szCs w:val="24"/>
          <w:highlight w:val="white"/>
          <w:rtl w:val="0"/>
        </w:rPr>
        <w:t xml:space="preserve">, v. 42, n. 3, p. 241-249, 2020.</w:t>
      </w:r>
    </w:p>
    <w:p w:rsidR="00000000" w:rsidDel="00000000" w:rsidP="00000000" w:rsidRDefault="00000000" w:rsidRPr="00000000" w14:paraId="0000003B">
      <w:pPr>
        <w:spacing w:after="240" w:before="240" w:lineRule="auto"/>
        <w:jc w:val="both"/>
        <w:rPr>
          <w:sz w:val="24"/>
          <w:szCs w:val="24"/>
          <w:highlight w:val="white"/>
        </w:rPr>
      </w:pPr>
      <w:r w:rsidDel="00000000" w:rsidR="00000000" w:rsidRPr="00000000">
        <w:rPr>
          <w:sz w:val="24"/>
          <w:szCs w:val="24"/>
          <w:highlight w:val="white"/>
          <w:rtl w:val="0"/>
        </w:rPr>
        <w:t xml:space="preserve">SOLMI, M. et al. Age of onset of mental disorders worldwide: systematic review. </w:t>
      </w:r>
      <w:r w:rsidDel="00000000" w:rsidR="00000000" w:rsidRPr="00000000">
        <w:rPr>
          <w:i w:val="1"/>
          <w:iCs w:val="1"/>
          <w:sz w:val="24"/>
          <w:szCs w:val="24"/>
          <w:highlight w:val="white"/>
          <w:rtl w:val="0"/>
        </w:rPr>
        <w:t xml:space="preserve">Nature Human Behaviour</w:t>
      </w:r>
      <w:r w:rsidDel="00000000" w:rsidR="00000000" w:rsidRPr="00000000">
        <w:rPr>
          <w:sz w:val="24"/>
          <w:szCs w:val="24"/>
          <w:highlight w:val="white"/>
          <w:rtl w:val="0"/>
        </w:rPr>
        <w:t xml:space="preserve">, v. 6, n. 7, p. 1-14, 2022.</w:t>
      </w:r>
    </w:p>
    <w:p w:rsidR="00000000" w:rsidDel="00000000" w:rsidP="00000000" w:rsidRDefault="00000000" w:rsidRPr="00000000" w14:paraId="0000003C">
      <w:pPr>
        <w:spacing w:after="240" w:before="240" w:lineRule="auto"/>
        <w:jc w:val="both"/>
        <w:rPr>
          <w:sz w:val="24"/>
          <w:szCs w:val="24"/>
          <w:highlight w:val="white"/>
        </w:rPr>
      </w:pPr>
      <w:r w:rsidDel="00000000" w:rsidR="00000000" w:rsidRPr="00000000">
        <w:rPr>
          <w:sz w:val="24"/>
          <w:szCs w:val="24"/>
          <w:highlight w:val="white"/>
          <w:rtl w:val="0"/>
        </w:rPr>
        <w:t xml:space="preserve">SØVOLD, L. E. et al. Prioritizing mental health in healthcare workers: recommendations and perspectives. </w:t>
      </w:r>
      <w:r w:rsidDel="00000000" w:rsidR="00000000" w:rsidRPr="00000000">
        <w:rPr>
          <w:i w:val="1"/>
          <w:iCs w:val="1"/>
          <w:sz w:val="24"/>
          <w:szCs w:val="24"/>
          <w:highlight w:val="white"/>
          <w:rtl w:val="0"/>
        </w:rPr>
        <w:t xml:space="preserve">Frontiers in Public Health</w:t>
      </w:r>
      <w:r w:rsidDel="00000000" w:rsidR="00000000" w:rsidRPr="00000000">
        <w:rPr>
          <w:sz w:val="24"/>
          <w:szCs w:val="24"/>
          <w:highlight w:val="white"/>
          <w:rtl w:val="0"/>
        </w:rPr>
        <w:t xml:space="preserve">, v. 9, p. 1-17, 2021.</w:t>
      </w:r>
    </w:p>
    <w:p w:rsidR="00000000" w:rsidDel="00000000" w:rsidP="00000000" w:rsidRDefault="00000000" w:rsidRPr="00000000" w14:paraId="0000003D">
      <w:pPr>
        <w:spacing w:after="240" w:before="240" w:lineRule="auto"/>
        <w:jc w:val="both"/>
        <w:rPr>
          <w:sz w:val="24"/>
          <w:szCs w:val="24"/>
          <w:highlight w:val="white"/>
        </w:rPr>
      </w:pPr>
      <w:r w:rsidDel="00000000" w:rsidR="00000000" w:rsidRPr="00000000">
        <w:rPr>
          <w:sz w:val="24"/>
          <w:szCs w:val="24"/>
          <w:highlight w:val="white"/>
          <w:rtl w:val="0"/>
        </w:rPr>
        <w:t xml:space="preserve">TENÓRIO, F. F. et al. Fatores associados ao sofrimento psíquico em estudantes de Medicina. </w:t>
      </w:r>
      <w:r w:rsidDel="00000000" w:rsidR="00000000" w:rsidRPr="00000000">
        <w:rPr>
          <w:i w:val="1"/>
          <w:iCs w:val="1"/>
          <w:sz w:val="24"/>
          <w:szCs w:val="24"/>
          <w:highlight w:val="white"/>
          <w:rtl w:val="0"/>
        </w:rPr>
        <w:t xml:space="preserve">Revista Brasileira de Educação Médica</w:t>
      </w:r>
      <w:r w:rsidDel="00000000" w:rsidR="00000000" w:rsidRPr="00000000">
        <w:rPr>
          <w:sz w:val="24"/>
          <w:szCs w:val="24"/>
          <w:highlight w:val="white"/>
          <w:rtl w:val="0"/>
        </w:rPr>
        <w:t xml:space="preserve">, v. 40, n. 1, p. 1-9, 2016.</w:t>
      </w:r>
    </w:p>
    <w:p w:rsidR="00000000" w:rsidDel="00000000" w:rsidP="00000000" w:rsidRDefault="00000000" w:rsidRPr="00000000" w14:paraId="0000003E">
      <w:pPr>
        <w:spacing w:after="240" w:before="240" w:lineRule="auto"/>
        <w:jc w:val="both"/>
        <w:rPr>
          <w:sz w:val="24"/>
          <w:szCs w:val="24"/>
          <w:highlight w:val="white"/>
        </w:rPr>
      </w:pPr>
      <w:r w:rsidDel="00000000" w:rsidR="00000000" w:rsidRPr="00000000">
        <w:rPr>
          <w:sz w:val="24"/>
          <w:szCs w:val="24"/>
          <w:highlight w:val="white"/>
          <w:rtl w:val="0"/>
        </w:rPr>
        <w:t xml:space="preserve">TORRES, A. C.; SOUZA, D. F.; FARIA, J. M. L. Problem-based learning and psychological adaptation in medical students. </w:t>
      </w:r>
      <w:r w:rsidDel="00000000" w:rsidR="00000000" w:rsidRPr="00000000">
        <w:rPr>
          <w:i w:val="1"/>
          <w:iCs w:val="1"/>
          <w:sz w:val="24"/>
          <w:szCs w:val="24"/>
          <w:highlight w:val="white"/>
          <w:rtl w:val="0"/>
        </w:rPr>
        <w:t xml:space="preserve">Medical Teacher</w:t>
      </w:r>
      <w:r w:rsidDel="00000000" w:rsidR="00000000" w:rsidRPr="00000000">
        <w:rPr>
          <w:sz w:val="24"/>
          <w:szCs w:val="24"/>
          <w:highlight w:val="white"/>
          <w:rtl w:val="0"/>
        </w:rPr>
        <w:t xml:space="preserve">, v. 41, n. 4, p. 1-7, 2019.</w:t>
      </w:r>
    </w:p>
    <w:p w:rsidR="00000000" w:rsidDel="00000000" w:rsidP="00000000" w:rsidRDefault="00000000" w:rsidRPr="00000000" w14:paraId="0000003F">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