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ADEA" w14:textId="77777777" w:rsidR="0082361C" w:rsidRPr="00364DA9" w:rsidRDefault="0082361C" w:rsidP="00CD0DD7">
      <w:pPr>
        <w:pStyle w:val="Subttulo"/>
        <w:jc w:val="left"/>
        <w:rPr>
          <w:b w:val="0"/>
          <w:i w:val="0"/>
          <w:sz w:val="20"/>
          <w:szCs w:val="20"/>
          <w:lang w:val="pt-BR"/>
        </w:rPr>
      </w:pPr>
    </w:p>
    <w:p w14:paraId="2142C965" w14:textId="76E129E7" w:rsidR="0082361C" w:rsidRPr="00364DA9" w:rsidRDefault="00CD0DD7">
      <w:pPr>
        <w:pStyle w:val="Subttulo"/>
        <w:rPr>
          <w:i w:val="0"/>
          <w:sz w:val="26"/>
          <w:szCs w:val="26"/>
          <w:lang w:val="pt-BR"/>
        </w:rPr>
      </w:pPr>
      <w:r>
        <w:rPr>
          <w:i w:val="0"/>
          <w:sz w:val="24"/>
          <w:szCs w:val="24"/>
          <w:lang w:val="pt-BR"/>
        </w:rPr>
        <w:t xml:space="preserve">Alteridade na programação televisual: um estudo sobre abordagens da diferença </w:t>
      </w:r>
      <w:r w:rsidR="00EA2EBE">
        <w:rPr>
          <w:i w:val="0"/>
          <w:sz w:val="24"/>
          <w:szCs w:val="24"/>
          <w:lang w:val="pt-BR"/>
        </w:rPr>
        <w:t>nas emissoras abertas e fechadas brasileiras</w:t>
      </w:r>
      <w:r>
        <w:rPr>
          <w:sz w:val="26"/>
          <w:szCs w:val="26"/>
          <w:vertAlign w:val="superscript"/>
        </w:rPr>
        <w:footnoteReference w:id="1"/>
      </w:r>
    </w:p>
    <w:p w14:paraId="1A34E3F0" w14:textId="77777777" w:rsidR="0082361C" w:rsidRPr="00364DA9" w:rsidRDefault="0082361C">
      <w:pPr>
        <w:pStyle w:val="Subttulo"/>
        <w:rPr>
          <w:i w:val="0"/>
          <w:sz w:val="26"/>
          <w:szCs w:val="26"/>
          <w:lang w:val="pt-BR"/>
        </w:rPr>
      </w:pPr>
    </w:p>
    <w:p w14:paraId="7A192329" w14:textId="0C05B416" w:rsidR="0082361C" w:rsidRPr="00364DA9" w:rsidRDefault="00EA2EBE">
      <w:pPr>
        <w:pStyle w:val="Subttulo"/>
        <w:rPr>
          <w:b w:val="0"/>
          <w:i w:val="0"/>
          <w:sz w:val="24"/>
          <w:szCs w:val="24"/>
          <w:lang w:val="pt-BR"/>
        </w:rPr>
      </w:pPr>
      <w:r>
        <w:rPr>
          <w:b w:val="0"/>
          <w:i w:val="0"/>
          <w:sz w:val="24"/>
          <w:szCs w:val="24"/>
          <w:lang w:val="pt-BR"/>
        </w:rPr>
        <w:t>Sofia Bartolomeu Tavares</w:t>
      </w:r>
      <w:r>
        <w:rPr>
          <w:sz w:val="24"/>
          <w:szCs w:val="24"/>
          <w:vertAlign w:val="superscript"/>
        </w:rPr>
        <w:footnoteReference w:id="2"/>
      </w:r>
    </w:p>
    <w:p w14:paraId="3166C5D8" w14:textId="2B2E0967" w:rsidR="0082361C" w:rsidRDefault="00EA2EBE" w:rsidP="00400E3D">
      <w:pPr>
        <w:pStyle w:val="Subttulo"/>
        <w:rPr>
          <w:b w:val="0"/>
          <w:i w:val="0"/>
          <w:sz w:val="24"/>
          <w:szCs w:val="24"/>
          <w:lang w:val="pt-BR"/>
        </w:rPr>
      </w:pPr>
      <w:r>
        <w:rPr>
          <w:b w:val="0"/>
          <w:i w:val="0"/>
          <w:sz w:val="24"/>
          <w:szCs w:val="24"/>
          <w:lang w:val="pt-BR"/>
        </w:rPr>
        <w:t xml:space="preserve">Julia </w:t>
      </w:r>
      <w:r w:rsidR="00535D86" w:rsidRPr="00535D86">
        <w:rPr>
          <w:b w:val="0"/>
          <w:bCs/>
          <w:i w:val="0"/>
          <w:sz w:val="24"/>
          <w:szCs w:val="24"/>
        </w:rPr>
        <w:t xml:space="preserve">Villar </w:t>
      </w:r>
      <w:proofErr w:type="spellStart"/>
      <w:r w:rsidR="00535D86" w:rsidRPr="00535D86">
        <w:rPr>
          <w:b w:val="0"/>
          <w:bCs/>
          <w:i w:val="0"/>
          <w:sz w:val="24"/>
          <w:szCs w:val="24"/>
        </w:rPr>
        <w:t>Meniquetti</w:t>
      </w:r>
      <w:proofErr w:type="spellEnd"/>
      <w:r>
        <w:rPr>
          <w:sz w:val="24"/>
          <w:szCs w:val="24"/>
          <w:vertAlign w:val="superscript"/>
        </w:rPr>
        <w:footnoteReference w:id="3"/>
      </w:r>
    </w:p>
    <w:p w14:paraId="41352FB7" w14:textId="22D0E1B3" w:rsidR="00EA2EBE" w:rsidRPr="00364DA9" w:rsidRDefault="00EA2EBE" w:rsidP="00EA2EBE">
      <w:pPr>
        <w:pStyle w:val="Subttulo"/>
        <w:rPr>
          <w:b w:val="0"/>
          <w:i w:val="0"/>
          <w:sz w:val="24"/>
          <w:szCs w:val="24"/>
          <w:lang w:val="pt-BR"/>
        </w:rPr>
      </w:pPr>
      <w:r>
        <w:rPr>
          <w:b w:val="0"/>
          <w:i w:val="0"/>
          <w:sz w:val="24"/>
          <w:szCs w:val="24"/>
          <w:lang w:val="pt-BR"/>
        </w:rPr>
        <w:t>José Augusto Mendes Lobato</w:t>
      </w:r>
      <w:r>
        <w:rPr>
          <w:sz w:val="24"/>
          <w:szCs w:val="24"/>
          <w:vertAlign w:val="superscript"/>
        </w:rPr>
        <w:footnoteReference w:id="4"/>
      </w:r>
    </w:p>
    <w:p w14:paraId="4EC0C350" w14:textId="35A4D0DC" w:rsidR="0082361C" w:rsidRPr="00364DA9" w:rsidRDefault="009F0752">
      <w:pPr>
        <w:pStyle w:val="Subttulo"/>
        <w:rPr>
          <w:b w:val="0"/>
          <w:i w:val="0"/>
          <w:sz w:val="24"/>
          <w:szCs w:val="24"/>
          <w:lang w:val="pt-BR"/>
        </w:rPr>
      </w:pPr>
      <w:r w:rsidRPr="00364DA9">
        <w:rPr>
          <w:b w:val="0"/>
          <w:i w:val="0"/>
          <w:sz w:val="24"/>
          <w:szCs w:val="24"/>
          <w:lang w:val="pt-BR"/>
        </w:rPr>
        <w:t xml:space="preserve">Universidade </w:t>
      </w:r>
      <w:r w:rsidR="00EA2EBE">
        <w:rPr>
          <w:b w:val="0"/>
          <w:i w:val="0"/>
          <w:sz w:val="24"/>
          <w:szCs w:val="24"/>
          <w:lang w:val="pt-BR"/>
        </w:rPr>
        <w:t xml:space="preserve">Anhembi Morumbi – UAM </w:t>
      </w:r>
    </w:p>
    <w:p w14:paraId="5411B7B7" w14:textId="77777777" w:rsidR="0082361C" w:rsidRPr="00364DA9" w:rsidRDefault="0082361C">
      <w:pPr>
        <w:pStyle w:val="Subttulo"/>
        <w:rPr>
          <w:i w:val="0"/>
          <w:sz w:val="24"/>
          <w:szCs w:val="24"/>
          <w:lang w:val="pt-BR"/>
        </w:rPr>
      </w:pPr>
    </w:p>
    <w:p w14:paraId="46C1D7A6" w14:textId="77777777" w:rsidR="0082361C" w:rsidRPr="00364DA9" w:rsidRDefault="0082361C">
      <w:pPr>
        <w:pStyle w:val="Subttulo"/>
        <w:rPr>
          <w:i w:val="0"/>
          <w:sz w:val="24"/>
          <w:szCs w:val="24"/>
          <w:lang w:val="pt-BR"/>
        </w:rPr>
      </w:pPr>
    </w:p>
    <w:p w14:paraId="157AD1ED" w14:textId="77777777" w:rsidR="0082361C" w:rsidRPr="00364DA9" w:rsidRDefault="009F0752">
      <w:pPr>
        <w:pStyle w:val="Subttulo"/>
        <w:jc w:val="left"/>
        <w:rPr>
          <w:i w:val="0"/>
          <w:sz w:val="24"/>
          <w:szCs w:val="24"/>
          <w:lang w:val="pt-BR"/>
        </w:rPr>
      </w:pPr>
      <w:r w:rsidRPr="00364DA9">
        <w:rPr>
          <w:i w:val="0"/>
          <w:sz w:val="24"/>
          <w:szCs w:val="24"/>
          <w:lang w:val="pt-BR"/>
        </w:rPr>
        <w:t>RESUMO</w:t>
      </w:r>
    </w:p>
    <w:p w14:paraId="23D423AD" w14:textId="51490A68" w:rsidR="0082361C" w:rsidRDefault="00EA2EBE" w:rsidP="00EA2E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t-BR"/>
        </w:rPr>
      </w:pPr>
      <w:r w:rsidRPr="00EA2EBE">
        <w:rPr>
          <w:color w:val="000000"/>
          <w:lang w:val="pt-BR"/>
        </w:rPr>
        <w:t>Este trabalho tem como objetivo apresentar e discutir os resulta</w:t>
      </w:r>
      <w:r>
        <w:rPr>
          <w:color w:val="000000"/>
          <w:lang w:val="pt-BR"/>
        </w:rPr>
        <w:t>dos preliminares de um projeto de pesquisa centrado nas estratégias de abordagem da alteridade em produtos da cultura televisual brasileira</w:t>
      </w:r>
      <w:r w:rsidRPr="00364DA9">
        <w:rPr>
          <w:color w:val="000000"/>
          <w:lang w:val="pt-BR"/>
        </w:rPr>
        <w:t>.</w:t>
      </w:r>
      <w:r>
        <w:rPr>
          <w:color w:val="000000"/>
          <w:lang w:val="pt-BR"/>
        </w:rPr>
        <w:t xml:space="preserve"> Para isso, debruçamo-nos brevemente sobre a discussão da alteridade e da diferença nos processos e narrativas audiovisuais contemporâneas e, em específico, detalhamos </w:t>
      </w:r>
      <w:r w:rsidR="00767801">
        <w:rPr>
          <w:color w:val="000000"/>
          <w:lang w:val="pt-BR"/>
        </w:rPr>
        <w:t>procedimentos para a</w:t>
      </w:r>
      <w:r>
        <w:rPr>
          <w:color w:val="000000"/>
          <w:lang w:val="pt-BR"/>
        </w:rPr>
        <w:t xml:space="preserve"> análise das grades de programação de oito emissoras –</w:t>
      </w:r>
      <w:r w:rsidRPr="00EA2EBE">
        <w:rPr>
          <w:color w:val="000000"/>
          <w:lang w:val="pt-BR"/>
        </w:rPr>
        <w:t xml:space="preserve"> Modo Viagem, GNT, OFF, Futura, Globo, Band, SBT e Record</w:t>
      </w:r>
      <w:r>
        <w:rPr>
          <w:color w:val="000000"/>
          <w:lang w:val="pt-BR"/>
        </w:rPr>
        <w:t xml:space="preserve"> – de televisão aberta e fechada do Brasil. Os resultados indicam a presença contínua das temáticas da alteridade nesses espaços, com predominância para as narrativas de viagens e do exótico</w:t>
      </w:r>
      <w:r w:rsidR="00767801">
        <w:rPr>
          <w:color w:val="000000"/>
          <w:lang w:val="pt-BR"/>
        </w:rPr>
        <w:t xml:space="preserve"> na televisão fechada e, na aberta, para narrativas factuais e de informação sobre temáticas de direitos humanos.</w:t>
      </w:r>
    </w:p>
    <w:p w14:paraId="4FD013B2" w14:textId="77777777" w:rsidR="00EA2EBE" w:rsidRPr="00364DA9" w:rsidRDefault="00EA2EBE" w:rsidP="00EA2E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t-BR"/>
        </w:rPr>
      </w:pPr>
    </w:p>
    <w:p w14:paraId="1C696EA1" w14:textId="34E3B5A9" w:rsidR="0082361C" w:rsidRPr="00364DA9" w:rsidRDefault="009F07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t-BR"/>
        </w:rPr>
      </w:pPr>
      <w:r w:rsidRPr="00364DA9">
        <w:rPr>
          <w:b/>
          <w:color w:val="000000"/>
          <w:lang w:val="pt-BR"/>
        </w:rPr>
        <w:t>PALAVRAS-CHAVE:</w:t>
      </w:r>
      <w:r w:rsidRPr="00364DA9">
        <w:rPr>
          <w:color w:val="000000"/>
          <w:lang w:val="pt-BR"/>
        </w:rPr>
        <w:t xml:space="preserve"> </w:t>
      </w:r>
      <w:r w:rsidR="00EA2EBE">
        <w:rPr>
          <w:color w:val="000000"/>
          <w:lang w:val="pt-BR"/>
        </w:rPr>
        <w:t>televisão; cultura audiovisual; alteridade; grade de programação; narrativas de alteridade.</w:t>
      </w:r>
    </w:p>
    <w:p w14:paraId="13C5D49B" w14:textId="77777777" w:rsidR="0082361C" w:rsidRPr="00364DA9" w:rsidRDefault="008236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t-BR"/>
        </w:rPr>
      </w:pPr>
    </w:p>
    <w:p w14:paraId="277A080A" w14:textId="77777777" w:rsidR="0082361C" w:rsidRPr="00364DA9" w:rsidRDefault="008236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t-BR"/>
        </w:rPr>
      </w:pPr>
    </w:p>
    <w:p w14:paraId="0F933749" w14:textId="07AEB2C7" w:rsidR="0082361C" w:rsidRPr="00364DA9" w:rsidRDefault="00EA2EB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t>1. Introdução – a questão do outro</w:t>
      </w:r>
      <w:r w:rsidR="00767801">
        <w:rPr>
          <w:b/>
          <w:color w:val="000000"/>
          <w:lang w:val="pt-BR"/>
        </w:rPr>
        <w:t>, o audiovisual e a televisão</w:t>
      </w:r>
    </w:p>
    <w:p w14:paraId="785CF537" w14:textId="4480FE8B" w:rsidR="00386772" w:rsidRPr="00535D86" w:rsidRDefault="009F0752" w:rsidP="003867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pt-BR"/>
        </w:rPr>
      </w:pPr>
      <w:r w:rsidRPr="00364DA9">
        <w:rPr>
          <w:color w:val="000000"/>
          <w:lang w:val="pt-BR"/>
        </w:rPr>
        <w:tab/>
      </w:r>
      <w:r w:rsidR="00EA2EBE">
        <w:rPr>
          <w:color w:val="000000"/>
          <w:lang w:val="pt-BR"/>
        </w:rPr>
        <w:t xml:space="preserve">O reconhecimento de regiões, culturais e modos de vida por meio dos procedimentos de representação midiática é objeto consagrado de estudo nas análises narrativas e discursivas que tangenciam a cultura audiovisual. Entendendo </w:t>
      </w:r>
      <w:proofErr w:type="gramStart"/>
      <w:r w:rsidR="00EA2EBE">
        <w:rPr>
          <w:color w:val="000000"/>
          <w:lang w:val="pt-BR"/>
        </w:rPr>
        <w:t>esta</w:t>
      </w:r>
      <w:proofErr w:type="gramEnd"/>
      <w:r w:rsidR="00EA2EBE">
        <w:rPr>
          <w:color w:val="000000"/>
          <w:lang w:val="pt-BR"/>
        </w:rPr>
        <w:t xml:space="preserve"> como elemento </w:t>
      </w:r>
      <w:r w:rsidR="00535D86">
        <w:rPr>
          <w:color w:val="000000"/>
          <w:lang w:val="pt-BR"/>
        </w:rPr>
        <w:t>transversalmente presente nos</w:t>
      </w:r>
      <w:r w:rsidR="00EA2EBE">
        <w:rPr>
          <w:color w:val="000000"/>
          <w:lang w:val="pt-BR"/>
        </w:rPr>
        <w:t xml:space="preserve"> mais diversos gêneros e formas, em evidente conexão com a indústria da cultura (</w:t>
      </w:r>
      <w:r w:rsidR="00767801">
        <w:rPr>
          <w:color w:val="000000"/>
          <w:lang w:val="pt-BR"/>
        </w:rPr>
        <w:t>RAMOS; BUENO</w:t>
      </w:r>
      <w:r w:rsidR="00EA2EBE">
        <w:rPr>
          <w:color w:val="000000"/>
          <w:lang w:val="pt-BR"/>
        </w:rPr>
        <w:t>, 200</w:t>
      </w:r>
      <w:r w:rsidR="00767801">
        <w:rPr>
          <w:color w:val="000000"/>
          <w:lang w:val="pt-BR"/>
        </w:rPr>
        <w:t>1</w:t>
      </w:r>
      <w:r w:rsidR="00EA2EBE">
        <w:rPr>
          <w:color w:val="000000"/>
          <w:lang w:val="pt-BR"/>
        </w:rPr>
        <w:t>), assumimos que investigar a questão do Outro – e as narrativas de alteridade (LOBATO, 201</w:t>
      </w:r>
      <w:r w:rsidR="00767801">
        <w:rPr>
          <w:color w:val="000000"/>
          <w:lang w:val="pt-BR"/>
        </w:rPr>
        <w:t>7</w:t>
      </w:r>
      <w:r w:rsidR="00EA2EBE">
        <w:rPr>
          <w:color w:val="000000"/>
          <w:lang w:val="pt-BR"/>
        </w:rPr>
        <w:t>) a ela relacionadas – é fundamental para entendermos as dinâmicas de reconhecimento, produção de sentido, identificação e construção da diferença nas mídias.</w:t>
      </w:r>
      <w:r w:rsidR="00535D86">
        <w:rPr>
          <w:color w:val="000000"/>
          <w:lang w:val="pt-BR"/>
        </w:rPr>
        <w:t xml:space="preserve"> </w:t>
      </w:r>
      <w:r w:rsidR="00EA2EBE">
        <w:rPr>
          <w:color w:val="000000"/>
          <w:lang w:val="pt-BR"/>
        </w:rPr>
        <w:t>Como parte de um trajeto mais amplo de pesquisa, a questão do Outro é fundante de nossa relação com a realidad</w:t>
      </w:r>
      <w:r w:rsidR="00386772">
        <w:rPr>
          <w:color w:val="000000"/>
          <w:lang w:val="pt-BR"/>
        </w:rPr>
        <w:t>e</w:t>
      </w:r>
      <w:r w:rsidR="00EA2EBE">
        <w:rPr>
          <w:color w:val="000000"/>
          <w:lang w:val="pt-BR"/>
        </w:rPr>
        <w:t xml:space="preserve">; </w:t>
      </w:r>
      <w:r w:rsidR="00386772">
        <w:rPr>
          <w:color w:val="000000"/>
          <w:lang w:val="pt-BR"/>
        </w:rPr>
        <w:t xml:space="preserve">conecta-se </w:t>
      </w:r>
      <w:r w:rsidR="00386772">
        <w:rPr>
          <w:color w:val="000000"/>
          <w:lang w:val="pt-BR"/>
        </w:rPr>
        <w:lastRenderedPageBreak/>
        <w:t xml:space="preserve">às finalidades essenciais das representações sociais, que buscam </w:t>
      </w:r>
      <w:r w:rsidR="00386772" w:rsidRPr="00B20A3A">
        <w:rPr>
          <w:lang w:val="pt-BR"/>
        </w:rPr>
        <w:t>“tornar familiar algo não familiar, ou a própria não familiaridade”</w:t>
      </w:r>
      <w:r w:rsidR="00386772">
        <w:rPr>
          <w:lang w:val="pt-BR"/>
        </w:rPr>
        <w:t xml:space="preserve"> </w:t>
      </w:r>
      <w:r w:rsidR="00386772" w:rsidRPr="00B20A3A">
        <w:rPr>
          <w:lang w:val="pt-BR"/>
        </w:rPr>
        <w:t>(MOSCOVICI, 2003, p. 54).</w:t>
      </w:r>
      <w:r w:rsidR="00386772">
        <w:rPr>
          <w:lang w:val="pt-BR"/>
        </w:rPr>
        <w:t xml:space="preserve"> Se de um lado também formamos e reformulamos identidades na representação, como diz Stuart Hall (2001), devemos reconhecer que é por meio dos discursos que dizem sobre o mundo, seus sujeito</w:t>
      </w:r>
      <w:r w:rsidR="00535D86">
        <w:rPr>
          <w:lang w:val="pt-BR"/>
        </w:rPr>
        <w:t>s</w:t>
      </w:r>
      <w:r w:rsidR="00386772">
        <w:rPr>
          <w:lang w:val="pt-BR"/>
        </w:rPr>
        <w:t xml:space="preserve"> e seus fenômenos que firmamos laços de identificação e pertencimento. Nas palavras de Woodward (2000, </w:t>
      </w:r>
      <w:r w:rsidR="00386772" w:rsidRPr="00386772">
        <w:rPr>
          <w:lang w:val="pt-BR"/>
        </w:rPr>
        <w:t>p. 17), “é por meio dos significados produzidos pelas representações que damos sentido à nossa experiência e àquilo que somos”.</w:t>
      </w:r>
      <w:r w:rsidR="00535D86">
        <w:rPr>
          <w:color w:val="000000"/>
          <w:lang w:val="pt-BR"/>
        </w:rPr>
        <w:t xml:space="preserve"> </w:t>
      </w:r>
      <w:r w:rsidR="00386772">
        <w:rPr>
          <w:lang w:val="pt-BR"/>
        </w:rPr>
        <w:t>Especificamente na cultura audiovisual contemporânea, podemos identificar a abordagem da alteridade em diversas direções. De um lado, o “exótico”, o “distante”</w:t>
      </w:r>
      <w:r w:rsidR="00535D86">
        <w:rPr>
          <w:lang w:val="pt-BR"/>
        </w:rPr>
        <w:t>, o “estrangeiro”,</w:t>
      </w:r>
      <w:r w:rsidR="00386772">
        <w:rPr>
          <w:lang w:val="pt-BR"/>
        </w:rPr>
        <w:t xml:space="preserve"> </w:t>
      </w:r>
      <w:r w:rsidR="00535D86">
        <w:rPr>
          <w:lang w:val="pt-BR"/>
        </w:rPr>
        <w:t xml:space="preserve"> </w:t>
      </w:r>
      <w:r w:rsidR="00386772">
        <w:rPr>
          <w:lang w:val="pt-BR"/>
        </w:rPr>
        <w:t>aquele que corresponde a uma imagem pretensamente inacessível que demanda tradução; de outro, o Outro que emerge como fissura, como contra-narrativa</w:t>
      </w:r>
      <w:r w:rsidR="00535D86">
        <w:rPr>
          <w:lang w:val="pt-BR"/>
        </w:rPr>
        <w:t xml:space="preserve"> dentro de nossos territórios</w:t>
      </w:r>
      <w:r w:rsidR="00386772">
        <w:rPr>
          <w:lang w:val="pt-BR"/>
        </w:rPr>
        <w:t>, cujas formas “</w:t>
      </w:r>
      <w:r w:rsidR="00386772" w:rsidRPr="00386772">
        <w:rPr>
          <w:lang w:val="pt-BR"/>
        </w:rPr>
        <w:t xml:space="preserve">continuamente evocam e rasuram suas fronteiras totalizadoras </w:t>
      </w:r>
      <w:r w:rsidR="00535D86">
        <w:rPr>
          <w:lang w:val="pt-BR"/>
        </w:rPr>
        <w:t>(...)</w:t>
      </w:r>
      <w:r w:rsidR="00386772" w:rsidRPr="00386772">
        <w:rPr>
          <w:lang w:val="pt-BR"/>
        </w:rPr>
        <w:t xml:space="preserve"> e perturbam aquelas manobras ideológicas através das quais ‘comunidades imaginadas’ recebem identidades essencialistas” (BHABHA, 1998, p. 211).</w:t>
      </w:r>
      <w:r w:rsidR="00535D86">
        <w:rPr>
          <w:color w:val="000000"/>
          <w:lang w:val="pt-BR"/>
        </w:rPr>
        <w:t xml:space="preserve"> </w:t>
      </w:r>
      <w:r w:rsidR="00386772">
        <w:rPr>
          <w:lang w:val="pt-BR"/>
        </w:rPr>
        <w:t xml:space="preserve">Na prática, identificamos em pesquisas anteriores (LOBATO, 2017, p.262) que </w:t>
      </w:r>
      <w:r w:rsidR="00535D86">
        <w:rPr>
          <w:lang w:val="pt-BR"/>
        </w:rPr>
        <w:t>as</w:t>
      </w:r>
      <w:r w:rsidR="00386772">
        <w:rPr>
          <w:lang w:val="pt-BR"/>
        </w:rPr>
        <w:t xml:space="preserve"> </w:t>
      </w:r>
      <w:r w:rsidR="00386772" w:rsidRPr="00535D86">
        <w:rPr>
          <w:i/>
          <w:iCs/>
          <w:lang w:val="pt-BR"/>
        </w:rPr>
        <w:t>narrativas de alteridade</w:t>
      </w:r>
      <w:r w:rsidR="00386772">
        <w:rPr>
          <w:lang w:val="pt-BR"/>
        </w:rPr>
        <w:t xml:space="preserve"> se dividem em duas dimensões: geográfica (centradas na formulação do distante, do exótico e do estrangeiro) e sociocultural (centradas </w:t>
      </w:r>
      <w:r w:rsidR="00535D86">
        <w:rPr>
          <w:lang w:val="pt-BR"/>
        </w:rPr>
        <w:t>em</w:t>
      </w:r>
      <w:r w:rsidR="00386772">
        <w:rPr>
          <w:lang w:val="pt-BR"/>
        </w:rPr>
        <w:t xml:space="preserve"> </w:t>
      </w:r>
      <w:r w:rsidR="00535D86">
        <w:rPr>
          <w:lang w:val="pt-BR"/>
        </w:rPr>
        <w:t>diferenças existentes em uma mesma comunidade nacional</w:t>
      </w:r>
      <w:r w:rsidR="00386772">
        <w:rPr>
          <w:lang w:val="pt-BR"/>
        </w:rPr>
        <w:t>). Elas têm distinções em seus modos de operação, mas se alinham a um conjunto de estratégias narrativas e discursivas</w:t>
      </w:r>
      <w:r w:rsidR="00535D86">
        <w:rPr>
          <w:lang w:val="pt-BR"/>
        </w:rPr>
        <w:t>:</w:t>
      </w:r>
    </w:p>
    <w:p w14:paraId="5C42C58C" w14:textId="77777777" w:rsidR="00386772" w:rsidRPr="00535D86" w:rsidRDefault="00386772" w:rsidP="003867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pt-BR"/>
        </w:rPr>
      </w:pPr>
    </w:p>
    <w:p w14:paraId="16B8C88C" w14:textId="204FC9FA" w:rsidR="00EA2EBE" w:rsidRPr="00386772" w:rsidRDefault="00386772" w:rsidP="00386772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color w:val="000000"/>
          <w:sz w:val="22"/>
          <w:szCs w:val="22"/>
          <w:lang w:val="pt-BR"/>
        </w:rPr>
      </w:pPr>
      <w:r w:rsidRPr="00386772">
        <w:rPr>
          <w:color w:val="000000"/>
          <w:sz w:val="22"/>
          <w:szCs w:val="22"/>
          <w:lang w:val="pt-BR"/>
        </w:rPr>
        <w:t>Assim como a narrativa da nação, a de alteridade pode – e tende a – ser preexistente à consciência individual. Atua de modo convencional e prescritivo, como diz Moscovici (2003), ou disciplinar, nos termos de Foucault (1996) e Gomes (2003), pois nos ensina a enxergar o outro sob determinado ângulo, orientando consensos sobre ele produzidos e definindo seus traços que são trazidos à luz na representação. E pode ocorrer tanto nos relatos que nos apresentarão um Brasil distante, idealizado e, por vezes, exótico/“</w:t>
      </w:r>
      <w:proofErr w:type="spellStart"/>
      <w:r w:rsidRPr="00386772">
        <w:rPr>
          <w:color w:val="000000"/>
          <w:sz w:val="22"/>
          <w:szCs w:val="22"/>
          <w:lang w:val="pt-BR"/>
        </w:rPr>
        <w:t>estrangeirizado</w:t>
      </w:r>
      <w:proofErr w:type="spellEnd"/>
      <w:r w:rsidRPr="00386772">
        <w:rPr>
          <w:color w:val="000000"/>
          <w:sz w:val="22"/>
          <w:szCs w:val="22"/>
          <w:lang w:val="pt-BR"/>
        </w:rPr>
        <w:t>” – dentro da categoria que definimos como alteridade sociocultural – quanto em narrativas que nos levarão a uma jornada rumo a regiões espacialmente distantes (alteridade geográfica)</w:t>
      </w:r>
      <w:r w:rsidR="00535D86">
        <w:rPr>
          <w:color w:val="000000"/>
          <w:sz w:val="22"/>
          <w:szCs w:val="22"/>
          <w:lang w:val="pt-BR"/>
        </w:rPr>
        <w:t xml:space="preserve"> </w:t>
      </w:r>
      <w:r w:rsidRPr="00386772">
        <w:rPr>
          <w:color w:val="000000"/>
          <w:sz w:val="22"/>
          <w:szCs w:val="22"/>
          <w:lang w:val="pt-BR"/>
        </w:rPr>
        <w:t>(LOBATO, 2018, p. 303-304).</w:t>
      </w:r>
    </w:p>
    <w:p w14:paraId="23152333" w14:textId="77777777" w:rsidR="00386772" w:rsidRDefault="00386772" w:rsidP="003867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pt-BR"/>
        </w:rPr>
      </w:pPr>
    </w:p>
    <w:p w14:paraId="301478D5" w14:textId="2E71BD49" w:rsidR="002F61FE" w:rsidRDefault="002F61FE" w:rsidP="003867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tab/>
        <w:t>Nosso objeto, portanto, está nas narrativas de alteridade que circulam na cultura audiovisual brasileira</w:t>
      </w:r>
      <w:r w:rsidR="00535D86">
        <w:rPr>
          <w:color w:val="000000"/>
          <w:lang w:val="pt-BR"/>
        </w:rPr>
        <w:t>, mais precisamente na televisão</w:t>
      </w:r>
      <w:r>
        <w:rPr>
          <w:color w:val="000000"/>
          <w:lang w:val="pt-BR"/>
        </w:rPr>
        <w:t xml:space="preserve">. Neste texto, </w:t>
      </w:r>
      <w:r w:rsidR="00535D86">
        <w:rPr>
          <w:color w:val="000000"/>
          <w:lang w:val="pt-BR"/>
        </w:rPr>
        <w:t>centramos e</w:t>
      </w:r>
      <w:r>
        <w:rPr>
          <w:color w:val="000000"/>
          <w:lang w:val="pt-BR"/>
        </w:rPr>
        <w:t xml:space="preserve">sforços na primeira etapa da pesquisa – dedicada à observação da incidência e das abordagens temáticas da alteridade presentes nas emissoras </w:t>
      </w:r>
      <w:r w:rsidR="00535D86">
        <w:rPr>
          <w:color w:val="000000"/>
          <w:lang w:val="pt-BR"/>
        </w:rPr>
        <w:t>abertas e fechadas do País.</w:t>
      </w:r>
    </w:p>
    <w:p w14:paraId="0BD065DE" w14:textId="0EB1F0DB" w:rsidR="002F61FE" w:rsidRPr="00BF2CC6" w:rsidRDefault="002F61FE" w:rsidP="003867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lang w:val="pt-BR"/>
        </w:rPr>
      </w:pPr>
      <w:r w:rsidRPr="002F61FE">
        <w:rPr>
          <w:b/>
          <w:bCs/>
          <w:color w:val="000000"/>
          <w:lang w:val="pt-BR"/>
        </w:rPr>
        <w:t>2. Metodologia, corpus e procedimentos</w:t>
      </w:r>
    </w:p>
    <w:p w14:paraId="3A7A64D4" w14:textId="296AA3D6" w:rsidR="00386772" w:rsidRDefault="002F61FE" w:rsidP="003867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lastRenderedPageBreak/>
        <w:tab/>
        <w:t>Em desenvolvimento nos anos de 2024 e 2025, nosso estudo tem como objetivo geral</w:t>
      </w:r>
      <w:r w:rsidRPr="002F61FE">
        <w:rPr>
          <w:lang w:val="pt-BR"/>
        </w:rPr>
        <w:t xml:space="preserve"> </w:t>
      </w:r>
      <w:r>
        <w:rPr>
          <w:color w:val="000000"/>
          <w:lang w:val="pt-BR"/>
        </w:rPr>
        <w:t>a</w:t>
      </w:r>
      <w:r w:rsidRPr="002F61FE">
        <w:rPr>
          <w:color w:val="000000"/>
          <w:lang w:val="pt-BR"/>
        </w:rPr>
        <w:t xml:space="preserve">valiar as estratégias narrativas, discursivas e de distribuição de </w:t>
      </w:r>
      <w:proofErr w:type="spellStart"/>
      <w:r w:rsidRPr="002F61FE">
        <w:rPr>
          <w:color w:val="000000"/>
          <w:lang w:val="pt-BR"/>
        </w:rPr>
        <w:t>conteúdos</w:t>
      </w:r>
      <w:proofErr w:type="spellEnd"/>
      <w:r w:rsidRPr="002F61FE">
        <w:rPr>
          <w:color w:val="000000"/>
          <w:lang w:val="pt-BR"/>
        </w:rPr>
        <w:t xml:space="preserve"> sobre dimensões de alteridade no audiovisual brasileiro, com foco nos produtos televisuais e sua relação com sujeitos representados e estratégias narrativas diversas.</w:t>
      </w:r>
      <w:r>
        <w:rPr>
          <w:color w:val="000000"/>
          <w:lang w:val="pt-BR"/>
        </w:rPr>
        <w:t xml:space="preserve"> Para isso, observamos em primeira fase (concluída em março de 2025) </w:t>
      </w:r>
      <w:r w:rsidRPr="002F61FE">
        <w:rPr>
          <w:color w:val="000000"/>
          <w:lang w:val="pt-BR"/>
        </w:rPr>
        <w:t>a incidência de narrativas de alteridade nos diferentes gêneros, formatos e categorias</w:t>
      </w:r>
      <w:r>
        <w:rPr>
          <w:color w:val="000000"/>
          <w:lang w:val="pt-BR"/>
        </w:rPr>
        <w:t xml:space="preserve"> da cultura televisual brasileira.</w:t>
      </w:r>
    </w:p>
    <w:p w14:paraId="0DA65650" w14:textId="41B93FB6" w:rsidR="00F265A4" w:rsidRDefault="002F61FE" w:rsidP="003867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tab/>
        <w:t>Para isso, propusemos um estudo da grade de programação em período definido de 24 de fevereiro a 3 de março de 2025, contemplando um universo de quatro emissoras de televisão aberta (Globo, Record, Band e SBT) e quatro da televisão fechada / por assinatura (</w:t>
      </w:r>
      <w:r w:rsidRPr="00EA2EBE">
        <w:rPr>
          <w:color w:val="000000"/>
          <w:lang w:val="pt-BR"/>
        </w:rPr>
        <w:t>Modo Viagem, GNT, OFF</w:t>
      </w:r>
      <w:r>
        <w:rPr>
          <w:color w:val="000000"/>
          <w:lang w:val="pt-BR"/>
        </w:rPr>
        <w:t xml:space="preserve"> </w:t>
      </w:r>
      <w:proofErr w:type="gramStart"/>
      <w:r>
        <w:rPr>
          <w:color w:val="000000"/>
          <w:lang w:val="pt-BR"/>
        </w:rPr>
        <w:t>e</w:t>
      </w:r>
      <w:proofErr w:type="gramEnd"/>
      <w:r>
        <w:rPr>
          <w:color w:val="000000"/>
          <w:lang w:val="pt-BR"/>
        </w:rPr>
        <w:t xml:space="preserve"> </w:t>
      </w:r>
      <w:r w:rsidRPr="00EA2EBE">
        <w:rPr>
          <w:color w:val="000000"/>
          <w:lang w:val="pt-BR"/>
        </w:rPr>
        <w:t>Futura</w:t>
      </w:r>
      <w:r>
        <w:rPr>
          <w:color w:val="000000"/>
          <w:lang w:val="pt-BR"/>
        </w:rPr>
        <w:t>)</w:t>
      </w:r>
      <w:r w:rsidR="00F265A4">
        <w:rPr>
          <w:color w:val="000000"/>
          <w:lang w:val="pt-BR"/>
        </w:rPr>
        <w:t xml:space="preserve">. A definição das emissoras a serem estudadas levou em conta os índices de audiência média (Ibope) mensurados para a televisão aberta e, na televisão fechada, pela longevidade e audiência das emissoras selecionadas. Em seguida ao passo de definição do universo de pesquisa e seu primeiro recorte, ainda em 2024, procedemos à delimitação das estratégias de categorização. As pesquisadoras envolvidas, estudantes de Jornalismo, sendo uma delas bolsista PIBIC/CNPq, trabalharam em conjunto com o orientador nessas estratégias, que resultam em uma organização da programação das emissoras considerando seus </w:t>
      </w:r>
      <w:r w:rsidR="00BF2CC6">
        <w:rPr>
          <w:color w:val="000000"/>
          <w:lang w:val="pt-BR"/>
        </w:rPr>
        <w:t>produtos</w:t>
      </w:r>
      <w:r w:rsidR="00F265A4">
        <w:rPr>
          <w:color w:val="000000"/>
          <w:lang w:val="pt-BR"/>
        </w:rPr>
        <w:t xml:space="preserve"> (a exemplo de séries, seriados,</w:t>
      </w:r>
      <w:r w:rsidR="00BF2CC6">
        <w:rPr>
          <w:color w:val="000000"/>
          <w:lang w:val="pt-BR"/>
        </w:rPr>
        <w:t xml:space="preserve"> programas de variedade,</w:t>
      </w:r>
      <w:r w:rsidR="00F265A4">
        <w:rPr>
          <w:color w:val="000000"/>
          <w:lang w:val="pt-BR"/>
        </w:rPr>
        <w:t xml:space="preserve"> telejornais etc.) </w:t>
      </w:r>
      <w:r w:rsidR="00BF2CC6">
        <w:rPr>
          <w:color w:val="000000"/>
          <w:lang w:val="pt-BR"/>
        </w:rPr>
        <w:t xml:space="preserve">de transmissões pontuais </w:t>
      </w:r>
      <w:r w:rsidR="00F265A4">
        <w:rPr>
          <w:color w:val="000000"/>
          <w:lang w:val="pt-BR"/>
        </w:rPr>
        <w:t>ou eventuais. Priorizamos na análise os programas, pela recorrência e possibilidade de levantamento temático mais claro no período da pesquisa de campo.</w:t>
      </w:r>
    </w:p>
    <w:p w14:paraId="27CB61CE" w14:textId="251171AE" w:rsidR="00BF2CC6" w:rsidRDefault="00F265A4" w:rsidP="003867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tab/>
        <w:t xml:space="preserve">Neste primeiro momento, em que uma análise pormenorizada dos produtos não seria ainda viável, definiu-se o estudo dos temas explorados e a identificação da dimensão de alteridade como prioridade. Ademais, optamos por demarcar os gêneros e formatos televisuais, </w:t>
      </w:r>
      <w:r w:rsidR="001C5E3B">
        <w:rPr>
          <w:color w:val="000000"/>
          <w:lang w:val="pt-BR"/>
        </w:rPr>
        <w:t>com base na</w:t>
      </w:r>
      <w:r>
        <w:rPr>
          <w:color w:val="000000"/>
          <w:lang w:val="pt-BR"/>
        </w:rPr>
        <w:t xml:space="preserve"> classificação </w:t>
      </w:r>
      <w:r w:rsidR="001C5E3B">
        <w:rPr>
          <w:color w:val="000000"/>
          <w:lang w:val="pt-BR"/>
        </w:rPr>
        <w:t>de</w:t>
      </w:r>
      <w:r>
        <w:rPr>
          <w:color w:val="000000"/>
          <w:lang w:val="pt-BR"/>
        </w:rPr>
        <w:t xml:space="preserve"> </w:t>
      </w:r>
      <w:proofErr w:type="spellStart"/>
      <w:r>
        <w:rPr>
          <w:color w:val="000000"/>
          <w:lang w:val="pt-BR"/>
        </w:rPr>
        <w:t>Aronchi</w:t>
      </w:r>
      <w:proofErr w:type="spellEnd"/>
      <w:r>
        <w:rPr>
          <w:color w:val="000000"/>
          <w:lang w:val="pt-BR"/>
        </w:rPr>
        <w:t xml:space="preserve"> de Souza (2004)</w:t>
      </w:r>
      <w:r w:rsidR="00BF2CC6">
        <w:rPr>
          <w:color w:val="000000"/>
          <w:lang w:val="pt-BR"/>
        </w:rPr>
        <w:t xml:space="preserve">, </w:t>
      </w:r>
      <w:r w:rsidR="001C5E3B">
        <w:rPr>
          <w:color w:val="000000"/>
          <w:lang w:val="pt-BR"/>
        </w:rPr>
        <w:t>em</w:t>
      </w:r>
      <w:r w:rsidR="00BF2CC6">
        <w:rPr>
          <w:color w:val="000000"/>
          <w:lang w:val="pt-BR"/>
        </w:rPr>
        <w:t xml:space="preserve"> </w:t>
      </w:r>
      <w:r w:rsidR="001C5E3B">
        <w:rPr>
          <w:color w:val="000000"/>
          <w:lang w:val="pt-BR"/>
        </w:rPr>
        <w:t>c</w:t>
      </w:r>
      <w:r w:rsidR="00BF2CC6">
        <w:rPr>
          <w:color w:val="000000"/>
          <w:lang w:val="pt-BR"/>
        </w:rPr>
        <w:t>ategoria</w:t>
      </w:r>
      <w:r w:rsidR="001C5E3B">
        <w:rPr>
          <w:color w:val="000000"/>
          <w:lang w:val="pt-BR"/>
        </w:rPr>
        <w:t>s</w:t>
      </w:r>
      <w:r w:rsidR="00BF2CC6">
        <w:rPr>
          <w:color w:val="000000"/>
          <w:lang w:val="pt-BR"/>
        </w:rPr>
        <w:t xml:space="preserve"> (Informação, Entretenimento, Educação e Outros) e gêneros (11, entre telejornal, documentário, série/seriado, telenovela, auditório, variedades etc.).</w:t>
      </w:r>
      <w:r w:rsidR="001C5E3B">
        <w:rPr>
          <w:color w:val="000000"/>
          <w:lang w:val="pt-BR"/>
        </w:rPr>
        <w:t xml:space="preserve"> </w:t>
      </w:r>
      <w:r>
        <w:rPr>
          <w:color w:val="000000"/>
          <w:lang w:val="pt-BR"/>
        </w:rPr>
        <w:t xml:space="preserve">No período de 24/2 a 3/3, </w:t>
      </w:r>
      <w:r w:rsidR="001C5E3B">
        <w:rPr>
          <w:color w:val="000000"/>
          <w:lang w:val="pt-BR"/>
        </w:rPr>
        <w:t>assistimos</w:t>
      </w:r>
      <w:r>
        <w:rPr>
          <w:color w:val="000000"/>
          <w:lang w:val="pt-BR"/>
        </w:rPr>
        <w:t xml:space="preserve"> às emissoras e </w:t>
      </w:r>
      <w:r w:rsidR="001C5E3B">
        <w:rPr>
          <w:color w:val="000000"/>
          <w:lang w:val="pt-BR"/>
        </w:rPr>
        <w:t>tabulamos</w:t>
      </w:r>
      <w:r>
        <w:rPr>
          <w:color w:val="000000"/>
          <w:lang w:val="pt-BR"/>
        </w:rPr>
        <w:t xml:space="preserve"> a natureza dos programas, tomando notas; além disso, em caráter exploratório e qualitativo, </w:t>
      </w:r>
      <w:r w:rsidR="001C5E3B">
        <w:rPr>
          <w:color w:val="000000"/>
          <w:lang w:val="pt-BR"/>
        </w:rPr>
        <w:t>assistimos em detalhe</w:t>
      </w:r>
      <w:r>
        <w:rPr>
          <w:color w:val="000000"/>
          <w:lang w:val="pt-BR"/>
        </w:rPr>
        <w:t xml:space="preserve"> a alguns deles para observar estratégias. Ao final, os dados são apresentados em uma tabela consolidada que lista as principais recorrências de dimensões de alteridade, temas abordados e gêneros/formatos por emissora (oito canais) e pelo tipo de emissora (aberta ou fechada). </w:t>
      </w:r>
    </w:p>
    <w:p w14:paraId="5B71C43E" w14:textId="052693AA" w:rsidR="00BF2CC6" w:rsidRPr="002F61FE" w:rsidRDefault="00BF2CC6" w:rsidP="00BF2C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lang w:val="pt-BR"/>
        </w:rPr>
      </w:pPr>
      <w:bookmarkStart w:id="0" w:name="_Hlk214025850"/>
      <w:r>
        <w:rPr>
          <w:b/>
          <w:bCs/>
          <w:color w:val="000000"/>
          <w:lang w:val="pt-BR"/>
        </w:rPr>
        <w:t>3</w:t>
      </w:r>
      <w:r w:rsidRPr="002F61FE">
        <w:rPr>
          <w:b/>
          <w:bCs/>
          <w:color w:val="000000"/>
          <w:lang w:val="pt-BR"/>
        </w:rPr>
        <w:t xml:space="preserve">. </w:t>
      </w:r>
      <w:r w:rsidR="00767801">
        <w:rPr>
          <w:b/>
          <w:bCs/>
          <w:color w:val="000000"/>
          <w:lang w:val="pt-BR"/>
        </w:rPr>
        <w:t>Resultados preliminares</w:t>
      </w:r>
    </w:p>
    <w:bookmarkEnd w:id="0"/>
    <w:p w14:paraId="6A238F1F" w14:textId="6887EA43" w:rsidR="001C5E3B" w:rsidRDefault="00F265A4" w:rsidP="001C5E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Os resultados </w:t>
      </w:r>
      <w:r w:rsidR="00BF2CC6">
        <w:rPr>
          <w:color w:val="000000"/>
          <w:lang w:val="pt-BR"/>
        </w:rPr>
        <w:t xml:space="preserve">identificados por nós até o momento </w:t>
      </w:r>
      <w:r>
        <w:rPr>
          <w:color w:val="000000"/>
          <w:lang w:val="pt-BR"/>
        </w:rPr>
        <w:t>permitem lançar um primeiro</w:t>
      </w:r>
      <w:r w:rsidR="00BF2CC6">
        <w:rPr>
          <w:color w:val="000000"/>
          <w:lang w:val="pt-BR"/>
        </w:rPr>
        <w:t xml:space="preserve"> olhar sobre a incidência de produtos audiovisuais </w:t>
      </w:r>
      <w:r w:rsidR="00535D86">
        <w:rPr>
          <w:color w:val="000000"/>
          <w:lang w:val="pt-BR"/>
        </w:rPr>
        <w:t>sobre a</w:t>
      </w:r>
      <w:r w:rsidR="00BF2CC6">
        <w:rPr>
          <w:color w:val="000000"/>
          <w:lang w:val="pt-BR"/>
        </w:rPr>
        <w:t xml:space="preserve"> alteridade na TV aberta e </w:t>
      </w:r>
      <w:r w:rsidR="00BF2CC6">
        <w:rPr>
          <w:color w:val="000000"/>
          <w:lang w:val="pt-BR"/>
        </w:rPr>
        <w:lastRenderedPageBreak/>
        <w:t xml:space="preserve">fechada brasileira. Entre alguns indicadores </w:t>
      </w:r>
      <w:r w:rsidR="00535D86">
        <w:rPr>
          <w:color w:val="000000"/>
          <w:lang w:val="pt-BR"/>
        </w:rPr>
        <w:t>gerais,</w:t>
      </w:r>
      <w:r w:rsidR="00BF2CC6">
        <w:rPr>
          <w:color w:val="000000"/>
          <w:lang w:val="pt-BR"/>
        </w:rPr>
        <w:t xml:space="preserve"> identificamos na semana da pesquisa </w:t>
      </w:r>
      <w:r w:rsidR="00BF2CC6" w:rsidRPr="00BF2CC6">
        <w:rPr>
          <w:color w:val="000000"/>
          <w:lang w:val="pt-BR"/>
        </w:rPr>
        <w:t>160 produtos audiovisuais exibidos na TV fechada (OFF, Modo Viagem, GNT e Futura)</w:t>
      </w:r>
      <w:r w:rsidR="00BF2CC6">
        <w:rPr>
          <w:color w:val="000000"/>
          <w:lang w:val="pt-BR"/>
        </w:rPr>
        <w:t xml:space="preserve"> e </w:t>
      </w:r>
      <w:r w:rsidR="00BF2CC6" w:rsidRPr="00BF2CC6">
        <w:rPr>
          <w:color w:val="000000"/>
          <w:lang w:val="pt-BR"/>
        </w:rPr>
        <w:t>158 produtos audiovisuais exibidos na TV aberta (Globo, Band, SBT e Record)</w:t>
      </w:r>
      <w:r w:rsidR="00BF2CC6">
        <w:rPr>
          <w:color w:val="000000"/>
          <w:lang w:val="pt-BR"/>
        </w:rPr>
        <w:t>. Destes</w:t>
      </w:r>
      <w:r w:rsidR="00535D86">
        <w:rPr>
          <w:color w:val="000000"/>
          <w:lang w:val="pt-BR"/>
        </w:rPr>
        <w:t xml:space="preserve">, </w:t>
      </w:r>
      <w:r w:rsidR="00BF2CC6" w:rsidRPr="00535D86">
        <w:rPr>
          <w:color w:val="000000"/>
          <w:lang w:val="pt-BR"/>
        </w:rPr>
        <w:t>79 produtos audiovisuais da TV fechada</w:t>
      </w:r>
      <w:r w:rsidR="00535D86">
        <w:rPr>
          <w:color w:val="000000"/>
          <w:lang w:val="pt-BR"/>
        </w:rPr>
        <w:t xml:space="preserve"> e 35 da TV aberta</w:t>
      </w:r>
      <w:r w:rsidR="00BF2CC6" w:rsidRPr="00535D86">
        <w:rPr>
          <w:color w:val="000000"/>
          <w:lang w:val="pt-BR"/>
        </w:rPr>
        <w:t xml:space="preserve"> abordam questões de alteridade geográfica ou sociocultural</w:t>
      </w:r>
      <w:r w:rsidR="00535D86">
        <w:rPr>
          <w:color w:val="000000"/>
          <w:lang w:val="pt-BR"/>
        </w:rPr>
        <w:t>.</w:t>
      </w:r>
      <w:r w:rsidR="001C5E3B">
        <w:rPr>
          <w:color w:val="000000"/>
          <w:lang w:val="pt-BR"/>
        </w:rPr>
        <w:t xml:space="preserve"> </w:t>
      </w:r>
      <w:r w:rsidR="00503EFB" w:rsidRPr="00503EFB">
        <w:rPr>
          <w:color w:val="000000"/>
          <w:lang w:val="pt-BR"/>
        </w:rPr>
        <w:t xml:space="preserve">Na TV fechada, 11 dos programas abordam especificamente a alteridade geográfica, priorizando-se os gêneros de </w:t>
      </w:r>
      <w:r w:rsidR="00535D86" w:rsidRPr="00503EFB">
        <w:rPr>
          <w:color w:val="000000"/>
          <w:lang w:val="pt-BR"/>
        </w:rPr>
        <w:t>variedades e grande reportagem/documentário</w:t>
      </w:r>
      <w:r w:rsidR="00503EFB" w:rsidRPr="00503EFB">
        <w:rPr>
          <w:color w:val="000000"/>
          <w:lang w:val="pt-BR"/>
        </w:rPr>
        <w:t xml:space="preserve">; e 22 </w:t>
      </w:r>
      <w:r w:rsidR="001C5E3B">
        <w:rPr>
          <w:color w:val="000000"/>
          <w:lang w:val="pt-BR"/>
        </w:rPr>
        <w:t>abordam</w:t>
      </w:r>
      <w:r w:rsidR="00503EFB" w:rsidRPr="00503EFB">
        <w:rPr>
          <w:color w:val="000000"/>
          <w:lang w:val="pt-BR"/>
        </w:rPr>
        <w:t xml:space="preserve"> a alteridade social e cultural, com foco em programas sobre viagens pelo Brasil, representações de culturas regionais, juventude</w:t>
      </w:r>
      <w:r w:rsidR="00535D86">
        <w:rPr>
          <w:color w:val="000000"/>
          <w:lang w:val="pt-BR"/>
        </w:rPr>
        <w:t xml:space="preserve"> e</w:t>
      </w:r>
      <w:r w:rsidR="00503EFB" w:rsidRPr="00503EFB">
        <w:rPr>
          <w:color w:val="000000"/>
          <w:lang w:val="pt-BR"/>
        </w:rPr>
        <w:t xml:space="preserve"> temáticas étnico-raciais</w:t>
      </w:r>
      <w:r w:rsidR="00535D86">
        <w:rPr>
          <w:color w:val="000000"/>
          <w:lang w:val="pt-BR"/>
        </w:rPr>
        <w:t xml:space="preserve">. As </w:t>
      </w:r>
      <w:r w:rsidR="00503EFB">
        <w:rPr>
          <w:color w:val="000000"/>
          <w:lang w:val="pt-BR"/>
        </w:rPr>
        <w:t>demais combinam as duas dimensões de alteridade e são prioritariamente programas de viagens. Na TV fechada, a subcategoria de “Biomas e regiões do Brasil” é a predominante.</w:t>
      </w:r>
      <w:r w:rsidR="00006F73">
        <w:rPr>
          <w:color w:val="000000"/>
          <w:lang w:val="pt-BR"/>
        </w:rPr>
        <w:t xml:space="preserve"> </w:t>
      </w:r>
      <w:r w:rsidR="00535D86">
        <w:rPr>
          <w:color w:val="000000"/>
          <w:lang w:val="pt-BR"/>
        </w:rPr>
        <w:t>C</w:t>
      </w:r>
      <w:r w:rsidR="00006F73" w:rsidRPr="00006F73">
        <w:rPr>
          <w:color w:val="000000"/>
          <w:lang w:val="pt-BR"/>
        </w:rPr>
        <w:t>anais como Futura e GNT enfatizam pautas de olhar brasileiro, como nos programas "Casa Brasileira" (GNT), "Preto tá na Moda" (Futura) e "Sou cultura popular", além de Amazônia - Novas Histórias" (ambos também do Futura).</w:t>
      </w:r>
      <w:r w:rsidR="00535D86">
        <w:rPr>
          <w:color w:val="000000"/>
          <w:lang w:val="pt-BR"/>
        </w:rPr>
        <w:t xml:space="preserve"> Já os programas</w:t>
      </w:r>
      <w:r w:rsidR="00535D86" w:rsidRPr="00006F73">
        <w:rPr>
          <w:color w:val="000000"/>
          <w:lang w:val="pt-BR"/>
        </w:rPr>
        <w:t xml:space="preserve"> com olhar </w:t>
      </w:r>
      <w:r w:rsidR="00535D86">
        <w:rPr>
          <w:color w:val="000000"/>
          <w:lang w:val="pt-BR"/>
        </w:rPr>
        <w:t>internacional incluem</w:t>
      </w:r>
      <w:r w:rsidR="00535D86" w:rsidRPr="00006F73">
        <w:rPr>
          <w:color w:val="000000"/>
          <w:lang w:val="pt-BR"/>
        </w:rPr>
        <w:t xml:space="preserve"> </w:t>
      </w:r>
      <w:r w:rsidR="00535D86">
        <w:rPr>
          <w:color w:val="000000"/>
          <w:lang w:val="pt-BR"/>
        </w:rPr>
        <w:t>“</w:t>
      </w:r>
      <w:r w:rsidR="00535D86" w:rsidRPr="00006F73">
        <w:rPr>
          <w:color w:val="000000"/>
          <w:lang w:val="pt-BR"/>
        </w:rPr>
        <w:t>Expedição Austrália</w:t>
      </w:r>
      <w:r w:rsidR="00535D86">
        <w:rPr>
          <w:color w:val="000000"/>
          <w:lang w:val="pt-BR"/>
        </w:rPr>
        <w:t>”</w:t>
      </w:r>
      <w:r w:rsidR="00535D86" w:rsidRPr="00006F73">
        <w:rPr>
          <w:color w:val="000000"/>
          <w:lang w:val="pt-BR"/>
        </w:rPr>
        <w:t xml:space="preserve">, </w:t>
      </w:r>
      <w:r w:rsidR="00535D86">
        <w:rPr>
          <w:color w:val="000000"/>
          <w:lang w:val="pt-BR"/>
        </w:rPr>
        <w:t>“</w:t>
      </w:r>
      <w:r w:rsidR="00535D86" w:rsidRPr="00006F73">
        <w:rPr>
          <w:color w:val="000000"/>
          <w:lang w:val="pt-BR"/>
        </w:rPr>
        <w:t>Turismo Egito</w:t>
      </w:r>
      <w:r w:rsidR="00535D86">
        <w:rPr>
          <w:color w:val="000000"/>
          <w:lang w:val="pt-BR"/>
        </w:rPr>
        <w:t>”</w:t>
      </w:r>
      <w:r w:rsidR="00535D86" w:rsidRPr="00006F73">
        <w:rPr>
          <w:color w:val="000000"/>
          <w:lang w:val="pt-BR"/>
        </w:rPr>
        <w:t xml:space="preserve"> e </w:t>
      </w:r>
      <w:r w:rsidR="00535D86">
        <w:rPr>
          <w:color w:val="000000"/>
          <w:lang w:val="pt-BR"/>
        </w:rPr>
        <w:t>“</w:t>
      </w:r>
      <w:r w:rsidR="00535D86" w:rsidRPr="00006F73">
        <w:rPr>
          <w:color w:val="000000"/>
          <w:lang w:val="pt-BR"/>
        </w:rPr>
        <w:t>Jordânia Extraordinária</w:t>
      </w:r>
      <w:r w:rsidR="00535D86">
        <w:rPr>
          <w:color w:val="000000"/>
          <w:lang w:val="pt-BR"/>
        </w:rPr>
        <w:t>”</w:t>
      </w:r>
      <w:r w:rsidR="00535D86" w:rsidRPr="00006F73">
        <w:rPr>
          <w:color w:val="000000"/>
          <w:lang w:val="pt-BR"/>
        </w:rPr>
        <w:t xml:space="preserve"> (</w:t>
      </w:r>
      <w:r w:rsidR="00535D86">
        <w:rPr>
          <w:color w:val="000000"/>
          <w:lang w:val="pt-BR"/>
        </w:rPr>
        <w:t>M</w:t>
      </w:r>
      <w:r w:rsidR="00535D86" w:rsidRPr="00006F73">
        <w:rPr>
          <w:color w:val="000000"/>
          <w:lang w:val="pt-BR"/>
        </w:rPr>
        <w:t>odo Viagem).</w:t>
      </w:r>
    </w:p>
    <w:p w14:paraId="37550C97" w14:textId="12FD16EB" w:rsidR="00767801" w:rsidRDefault="00535D86" w:rsidP="001C5E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Na </w:t>
      </w:r>
      <w:r w:rsidR="001C5E3B">
        <w:rPr>
          <w:color w:val="000000"/>
          <w:lang w:val="pt-BR"/>
        </w:rPr>
        <w:t>TV</w:t>
      </w:r>
      <w:r w:rsidR="00503EFB">
        <w:rPr>
          <w:color w:val="000000"/>
          <w:lang w:val="pt-BR"/>
        </w:rPr>
        <w:t xml:space="preserve"> aberta, notamos menor incidência de abordagens da alteridade. Das 35 produções identificadas, há absoluta predominância de produtos de </w:t>
      </w:r>
      <w:r>
        <w:rPr>
          <w:color w:val="000000"/>
          <w:lang w:val="pt-BR"/>
        </w:rPr>
        <w:t xml:space="preserve">informação ou informação + entretenimento (infotenimento) </w:t>
      </w:r>
      <w:r w:rsidR="00503EFB">
        <w:rPr>
          <w:color w:val="000000"/>
          <w:lang w:val="pt-BR"/>
        </w:rPr>
        <w:t>(32 programas) e dos gêneros telejornal e grande reportagem/documentário. Destaque-se que</w:t>
      </w:r>
      <w:r>
        <w:rPr>
          <w:color w:val="000000"/>
          <w:lang w:val="pt-BR"/>
        </w:rPr>
        <w:t>,</w:t>
      </w:r>
      <w:r w:rsidR="00503EFB">
        <w:rPr>
          <w:color w:val="000000"/>
          <w:lang w:val="pt-BR"/>
        </w:rPr>
        <w:t xml:space="preserve"> no período</w:t>
      </w:r>
      <w:r>
        <w:rPr>
          <w:color w:val="000000"/>
          <w:lang w:val="pt-BR"/>
        </w:rPr>
        <w:t>,</w:t>
      </w:r>
      <w:r w:rsidR="00503EFB">
        <w:rPr>
          <w:color w:val="000000"/>
          <w:lang w:val="pt-BR"/>
        </w:rPr>
        <w:t xml:space="preserve"> a habitual abordagem de países estrangeiros ou biomas do Brasil em telenovelas nas emissoras Globo e Record não ocorreu. Diferentemente da TV fechada, ao invés de “Biomas e regiões do Brasil”, a principal subcategoria de alteridade foi “Direitos Humanos”</w:t>
      </w:r>
      <w:r w:rsidR="00006F73">
        <w:rPr>
          <w:color w:val="000000"/>
          <w:lang w:val="pt-BR"/>
        </w:rPr>
        <w:t>, explorada em programas como “Fantástico” e “Globo Repórter” (Globo)</w:t>
      </w:r>
      <w:r w:rsidR="00D264B6">
        <w:rPr>
          <w:color w:val="000000"/>
          <w:lang w:val="pt-BR"/>
        </w:rPr>
        <w:t>. Nota</w:t>
      </w:r>
      <w:r w:rsidR="00503EFB">
        <w:rPr>
          <w:color w:val="000000"/>
          <w:lang w:val="pt-BR"/>
        </w:rPr>
        <w:t>-se uma distinção a partir dos dados brutos entre a presença das temáticas de alteridade nas televisões aberta e fechada; os canais por assinatura pautam sua programação de acordo com temáticas internacionais ou de apresentação de culturas e regionalidades brasileiras – pontue-se que o canal Modo Viagem em específico tem programação centrada no aspecto de viagens</w:t>
      </w:r>
      <w:r w:rsidR="001C5E3B">
        <w:rPr>
          <w:color w:val="000000"/>
          <w:lang w:val="pt-BR"/>
        </w:rPr>
        <w:t>, influenciando bastante nossos resultados</w:t>
      </w:r>
      <w:r w:rsidR="00503EFB">
        <w:rPr>
          <w:color w:val="000000"/>
          <w:lang w:val="pt-BR"/>
        </w:rPr>
        <w:t xml:space="preserve">. </w:t>
      </w:r>
      <w:r w:rsidR="00006F73">
        <w:rPr>
          <w:color w:val="000000"/>
          <w:lang w:val="pt-BR"/>
        </w:rPr>
        <w:t>Já a</w:t>
      </w:r>
      <w:r w:rsidR="00503EFB">
        <w:rPr>
          <w:color w:val="000000"/>
          <w:lang w:val="pt-BR"/>
        </w:rPr>
        <w:t xml:space="preserve"> TV aberta direciona os esforços de abordagem da alteridade de modo claro a partir do eixo da informação, </w:t>
      </w:r>
      <w:r w:rsidR="00006F73">
        <w:rPr>
          <w:color w:val="000000"/>
          <w:lang w:val="pt-BR"/>
        </w:rPr>
        <w:t>com prioridade</w:t>
      </w:r>
      <w:r w:rsidR="00503EFB">
        <w:rPr>
          <w:color w:val="000000"/>
          <w:lang w:val="pt-BR"/>
        </w:rPr>
        <w:t xml:space="preserve"> </w:t>
      </w:r>
      <w:r w:rsidR="00006F73">
        <w:rPr>
          <w:color w:val="000000"/>
          <w:lang w:val="pt-BR"/>
        </w:rPr>
        <w:t>a</w:t>
      </w:r>
      <w:r w:rsidR="00503EFB">
        <w:rPr>
          <w:color w:val="000000"/>
          <w:lang w:val="pt-BR"/>
        </w:rPr>
        <w:t>o recorte “Direitos Humanos” (que inclui temas como povos originários, populações de grupos minorizados, desigualdades e iniquidades e exclusão social).</w:t>
      </w:r>
      <w:r w:rsidR="001C5E3B">
        <w:rPr>
          <w:color w:val="000000"/>
          <w:lang w:val="pt-BR"/>
        </w:rPr>
        <w:t xml:space="preserve"> </w:t>
      </w:r>
      <w:r w:rsidR="00006F73">
        <w:rPr>
          <w:color w:val="000000"/>
          <w:lang w:val="pt-BR"/>
        </w:rPr>
        <w:t xml:space="preserve">Somos levados, assim, a pontuar que a abordagem das temáticas de alteridade tem maior propensão às narrativas de viagens e deslocamentos na televisão fechada, enquanto a TV aberta segue mais diretamente a dinâmica de narração informativa sobre a alteridade, fruto das próprias </w:t>
      </w:r>
      <w:r w:rsidR="00006F73">
        <w:rPr>
          <w:color w:val="000000"/>
          <w:lang w:val="pt-BR"/>
        </w:rPr>
        <w:lastRenderedPageBreak/>
        <w:t>configurações de gênero e formato – em que, mesmo pesando-se a presença de produtos seriados de ficção nas grades, as emissoras contam com volume elevado de</w:t>
      </w:r>
      <w:r w:rsidR="001C5E3B">
        <w:rPr>
          <w:color w:val="000000"/>
          <w:lang w:val="pt-BR"/>
        </w:rPr>
        <w:t xml:space="preserve"> horas para</w:t>
      </w:r>
      <w:r w:rsidR="00006F73">
        <w:rPr>
          <w:color w:val="000000"/>
          <w:lang w:val="pt-BR"/>
        </w:rPr>
        <w:t xml:space="preserve"> telejornais e programas </w:t>
      </w:r>
      <w:r w:rsidR="001C5E3B">
        <w:rPr>
          <w:color w:val="000000"/>
          <w:lang w:val="pt-BR"/>
        </w:rPr>
        <w:t>jornalísticos</w:t>
      </w:r>
      <w:r w:rsidR="00006F73">
        <w:rPr>
          <w:color w:val="000000"/>
          <w:lang w:val="pt-BR"/>
        </w:rPr>
        <w:t xml:space="preserve"> – e do caráter segmentado dos canais de TV fechada.</w:t>
      </w:r>
    </w:p>
    <w:p w14:paraId="3C8072C4" w14:textId="77777777" w:rsidR="001C5E3B" w:rsidRDefault="001C5E3B" w:rsidP="001C5E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>
        <w:rPr>
          <w:color w:val="000000"/>
          <w:lang w:val="pt-BR"/>
        </w:rPr>
        <w:t>Quanto à abordagem temática em si,</w:t>
      </w:r>
      <w:r w:rsidR="00AE4846" w:rsidRPr="00AE4846">
        <w:rPr>
          <w:color w:val="000000"/>
          <w:lang w:val="pt-BR"/>
        </w:rPr>
        <w:t xml:space="preserve"> as dimensões de alteridade que mais aparecem com frequência </w:t>
      </w:r>
      <w:r>
        <w:rPr>
          <w:color w:val="000000"/>
          <w:lang w:val="pt-BR"/>
        </w:rPr>
        <w:t>exploram a</w:t>
      </w:r>
      <w:r w:rsidR="00AE4846" w:rsidRPr="00AE4846">
        <w:rPr>
          <w:color w:val="000000"/>
          <w:lang w:val="pt-BR"/>
        </w:rPr>
        <w:t xml:space="preserve"> cultura,</w:t>
      </w:r>
      <w:r>
        <w:rPr>
          <w:color w:val="000000"/>
          <w:lang w:val="pt-BR"/>
        </w:rPr>
        <w:t xml:space="preserve"> os</w:t>
      </w:r>
      <w:r w:rsidR="00AE4846" w:rsidRPr="00AE4846">
        <w:rPr>
          <w:color w:val="000000"/>
          <w:lang w:val="pt-BR"/>
        </w:rPr>
        <w:t xml:space="preserve"> povos e </w:t>
      </w:r>
      <w:r>
        <w:rPr>
          <w:color w:val="000000"/>
          <w:lang w:val="pt-BR"/>
        </w:rPr>
        <w:t xml:space="preserve">os </w:t>
      </w:r>
      <w:r w:rsidR="00AE4846" w:rsidRPr="00AE4846">
        <w:rPr>
          <w:color w:val="000000"/>
          <w:lang w:val="pt-BR"/>
        </w:rPr>
        <w:t>território</w:t>
      </w:r>
      <w:r>
        <w:rPr>
          <w:color w:val="000000"/>
          <w:lang w:val="pt-BR"/>
        </w:rPr>
        <w:t>s</w:t>
      </w:r>
      <w:r w:rsidR="00AE4846" w:rsidRPr="00AE4846">
        <w:rPr>
          <w:color w:val="000000"/>
          <w:lang w:val="pt-BR"/>
        </w:rPr>
        <w:t xml:space="preserve"> de países estrangeiros. A alteridade </w:t>
      </w:r>
      <w:r>
        <w:rPr>
          <w:color w:val="000000"/>
          <w:lang w:val="pt-BR"/>
        </w:rPr>
        <w:t>sociocultural</w:t>
      </w:r>
      <w:r w:rsidR="00AE4846" w:rsidRPr="00AE4846">
        <w:rPr>
          <w:color w:val="000000"/>
          <w:lang w:val="pt-BR"/>
        </w:rPr>
        <w:t xml:space="preserve"> é abordada de maneira muito sutil. Apesar de </w:t>
      </w:r>
      <w:r>
        <w:rPr>
          <w:color w:val="000000"/>
          <w:lang w:val="pt-BR"/>
        </w:rPr>
        <w:t>haver</w:t>
      </w:r>
      <w:r w:rsidR="00AE4846" w:rsidRPr="00AE4846">
        <w:rPr>
          <w:color w:val="000000"/>
          <w:lang w:val="pt-BR"/>
        </w:rPr>
        <w:t xml:space="preserve"> um movimento de exaltação da cultura nacional, ainda é muito pequena sua mobilização. </w:t>
      </w:r>
      <w:r>
        <w:rPr>
          <w:color w:val="000000"/>
          <w:lang w:val="pt-BR"/>
        </w:rPr>
        <w:t>Somos levados a crer que é não há um</w:t>
      </w:r>
      <w:r w:rsidR="00AE4846" w:rsidRPr="00AE4846">
        <w:rPr>
          <w:color w:val="000000"/>
          <w:lang w:val="pt-BR"/>
        </w:rPr>
        <w:t xml:space="preserve"> movimento natural das emissoras abertas </w:t>
      </w:r>
      <w:r>
        <w:rPr>
          <w:color w:val="000000"/>
          <w:lang w:val="pt-BR"/>
        </w:rPr>
        <w:t xml:space="preserve">para </w:t>
      </w:r>
      <w:r w:rsidR="00AE4846" w:rsidRPr="00AE4846">
        <w:rPr>
          <w:color w:val="000000"/>
          <w:lang w:val="pt-BR"/>
        </w:rPr>
        <w:t>fazer programas que envolvam a questão da alteridade</w:t>
      </w:r>
      <w:r>
        <w:rPr>
          <w:color w:val="000000"/>
          <w:lang w:val="pt-BR"/>
        </w:rPr>
        <w:t xml:space="preserve"> além da informação jornalística</w:t>
      </w:r>
      <w:r w:rsidR="00AE4846" w:rsidRPr="00AE4846">
        <w:rPr>
          <w:color w:val="000000"/>
          <w:lang w:val="pt-BR"/>
        </w:rPr>
        <w:t>.</w:t>
      </w:r>
      <w:r>
        <w:rPr>
          <w:color w:val="000000"/>
          <w:lang w:val="pt-BR"/>
        </w:rPr>
        <w:t xml:space="preserve"> </w:t>
      </w:r>
      <w:r w:rsidR="00AE4846" w:rsidRPr="00AE4846">
        <w:rPr>
          <w:color w:val="000000"/>
          <w:lang w:val="pt-BR"/>
        </w:rPr>
        <w:t>As emissoras de televisão aberta pouco exploram a alteridade em sua programação. Quase toda a alteridade fica com os telejornais, que por sua vez são muito ágeis e quase nunca abordam toda a complexidade sobre a questão da alteridade. Quando foge</w:t>
      </w:r>
      <w:r>
        <w:rPr>
          <w:color w:val="000000"/>
          <w:lang w:val="pt-BR"/>
        </w:rPr>
        <w:t>m</w:t>
      </w:r>
      <w:r w:rsidR="00AE4846" w:rsidRPr="00AE4846">
        <w:rPr>
          <w:color w:val="000000"/>
          <w:lang w:val="pt-BR"/>
        </w:rPr>
        <w:t xml:space="preserve"> desse parâmetro, os programas que </w:t>
      </w:r>
      <w:r>
        <w:rPr>
          <w:color w:val="000000"/>
          <w:lang w:val="pt-BR"/>
        </w:rPr>
        <w:t>exploram a diferença/o Outro</w:t>
      </w:r>
      <w:r w:rsidR="00AE4846" w:rsidRPr="00AE4846">
        <w:rPr>
          <w:color w:val="000000"/>
          <w:lang w:val="pt-BR"/>
        </w:rPr>
        <w:t xml:space="preserve"> acabam passando em horários alternativos da programação, o que acaba não atingindo a grande parte dos telespectadores. Nas emissoras abertas</w:t>
      </w:r>
      <w:r>
        <w:rPr>
          <w:color w:val="000000"/>
          <w:lang w:val="pt-BR"/>
        </w:rPr>
        <w:t>,</w:t>
      </w:r>
      <w:r w:rsidR="00AE4846" w:rsidRPr="00AE4846">
        <w:rPr>
          <w:color w:val="000000"/>
          <w:lang w:val="pt-BR"/>
        </w:rPr>
        <w:t xml:space="preserve"> o jornalismo </w:t>
      </w:r>
      <w:r>
        <w:rPr>
          <w:color w:val="000000"/>
          <w:lang w:val="pt-BR"/>
        </w:rPr>
        <w:t xml:space="preserve">de viés factual-informativo </w:t>
      </w:r>
      <w:r w:rsidR="00AE4846" w:rsidRPr="00AE4846">
        <w:rPr>
          <w:color w:val="000000"/>
          <w:lang w:val="pt-BR"/>
        </w:rPr>
        <w:t xml:space="preserve">ainda está muito entranhado com a questão da alteridade. </w:t>
      </w:r>
    </w:p>
    <w:p w14:paraId="7828B03E" w14:textId="77777777" w:rsidR="001C5E3B" w:rsidRDefault="00AE4846" w:rsidP="001C5E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AE4846">
        <w:rPr>
          <w:color w:val="000000"/>
          <w:lang w:val="pt-BR"/>
        </w:rPr>
        <w:t>Nas emissoras fechadas</w:t>
      </w:r>
      <w:r w:rsidR="001C5E3B">
        <w:rPr>
          <w:color w:val="000000"/>
          <w:lang w:val="pt-BR"/>
        </w:rPr>
        <w:t>, a</w:t>
      </w:r>
      <w:r w:rsidRPr="00AE4846">
        <w:rPr>
          <w:color w:val="000000"/>
          <w:lang w:val="pt-BR"/>
        </w:rPr>
        <w:t xml:space="preserve"> questão da alteridade </w:t>
      </w:r>
      <w:r w:rsidR="001C5E3B">
        <w:rPr>
          <w:color w:val="000000"/>
          <w:lang w:val="pt-BR"/>
        </w:rPr>
        <w:t>é abordada de forma mais multifacetada, com</w:t>
      </w:r>
      <w:r w:rsidRPr="00AE4846">
        <w:rPr>
          <w:color w:val="000000"/>
          <w:lang w:val="pt-BR"/>
        </w:rPr>
        <w:t xml:space="preserve"> programas que priorizam conhecer e explorar novos lugares e culturas. Entretanto, a forma de abordagem acaba sendo muito parecida na maioria dos programas, que faz com que a programação pareça sempre a mesma, além de em alguns casos </w:t>
      </w:r>
      <w:r w:rsidR="001C5E3B">
        <w:rPr>
          <w:color w:val="000000"/>
          <w:lang w:val="pt-BR"/>
        </w:rPr>
        <w:t>notarmos que as estratégias de abordagem parecem reducionistas, com uma</w:t>
      </w:r>
      <w:r w:rsidRPr="00AE4846">
        <w:rPr>
          <w:color w:val="000000"/>
          <w:lang w:val="pt-BR"/>
        </w:rPr>
        <w:t xml:space="preserve"> visão de quem não vivencia as dimensões de alteridade sobre a cultura e o local.</w:t>
      </w:r>
      <w:r w:rsidR="001C5E3B">
        <w:rPr>
          <w:color w:val="000000"/>
          <w:lang w:val="pt-BR"/>
        </w:rPr>
        <w:t xml:space="preserve"> </w:t>
      </w:r>
      <w:r w:rsidR="001C5E3B">
        <w:rPr>
          <w:color w:val="000000"/>
          <w:lang w:val="pt-BR" w:eastAsia="pt-BR"/>
        </w:rPr>
        <w:t>A</w:t>
      </w:r>
      <w:r w:rsidR="00A0077A" w:rsidRPr="00A0077A">
        <w:rPr>
          <w:color w:val="000000"/>
          <w:lang w:val="pt-BR" w:eastAsia="pt-BR"/>
        </w:rPr>
        <w:t xml:space="preserve"> defasagem na parte dos canais de TV aberta</w:t>
      </w:r>
      <w:r w:rsidR="001C5E3B">
        <w:rPr>
          <w:color w:val="000000"/>
          <w:lang w:val="pt-BR" w:eastAsia="pt-BR"/>
        </w:rPr>
        <w:t xml:space="preserve"> pode estar associada à predominância dos temas em</w:t>
      </w:r>
      <w:r w:rsidR="00A0077A" w:rsidRPr="00A0077A">
        <w:rPr>
          <w:color w:val="000000"/>
          <w:lang w:val="pt-BR" w:eastAsia="pt-BR"/>
        </w:rPr>
        <w:t xml:space="preserve"> notícias factuais, regionais, nacionais e internacionais, </w:t>
      </w:r>
      <w:r w:rsidR="001C5E3B">
        <w:rPr>
          <w:color w:val="000000"/>
          <w:lang w:val="pt-BR" w:eastAsia="pt-BR"/>
        </w:rPr>
        <w:t>em</w:t>
      </w:r>
      <w:r w:rsidR="00A0077A" w:rsidRPr="00A0077A">
        <w:rPr>
          <w:color w:val="000000"/>
          <w:lang w:val="pt-BR" w:eastAsia="pt-BR"/>
        </w:rPr>
        <w:t xml:space="preserve"> </w:t>
      </w:r>
      <w:r w:rsidR="001C5E3B">
        <w:rPr>
          <w:color w:val="000000"/>
          <w:lang w:val="pt-BR" w:eastAsia="pt-BR"/>
        </w:rPr>
        <w:t>produções nas quais</w:t>
      </w:r>
      <w:r w:rsidR="00A0077A" w:rsidRPr="00A0077A">
        <w:rPr>
          <w:color w:val="000000"/>
          <w:lang w:val="pt-BR" w:eastAsia="pt-BR"/>
        </w:rPr>
        <w:t xml:space="preserve"> não se abordam temas que visam adentrar diferentes culturas, etnias ou a biodiversidade, a não ser no meio jornalístico. </w:t>
      </w:r>
      <w:r w:rsidR="001C5E3B">
        <w:rPr>
          <w:color w:val="000000"/>
          <w:lang w:val="pt-BR"/>
        </w:rPr>
        <w:t xml:space="preserve">A </w:t>
      </w:r>
      <w:r w:rsidR="00A0077A" w:rsidRPr="00A0077A">
        <w:rPr>
          <w:color w:val="000000"/>
          <w:lang w:val="pt-BR" w:eastAsia="pt-BR"/>
        </w:rPr>
        <w:t>movimentação no quesito alteridade</w:t>
      </w:r>
      <w:r w:rsidR="001C5E3B">
        <w:rPr>
          <w:color w:val="000000"/>
          <w:lang w:val="pt-BR" w:eastAsia="pt-BR"/>
        </w:rPr>
        <w:t xml:space="preserve"> está presente em canais como</w:t>
      </w:r>
      <w:r w:rsidR="00A0077A" w:rsidRPr="00A0077A">
        <w:rPr>
          <w:color w:val="000000"/>
          <w:lang w:val="pt-BR" w:eastAsia="pt-BR"/>
        </w:rPr>
        <w:t xml:space="preserve"> Futura</w:t>
      </w:r>
      <w:r w:rsidR="001C5E3B">
        <w:rPr>
          <w:color w:val="000000"/>
          <w:lang w:val="pt-BR" w:eastAsia="pt-BR"/>
        </w:rPr>
        <w:t>, no qual notamos</w:t>
      </w:r>
      <w:r w:rsidR="00A0077A" w:rsidRPr="00A0077A">
        <w:rPr>
          <w:color w:val="000000"/>
          <w:lang w:val="pt-BR" w:eastAsia="pt-BR"/>
        </w:rPr>
        <w:t xml:space="preserve"> grande diversidade étnica, e regional, abordando o povo brasileiro como foco principal de quase toda a programação, com programas </w:t>
      </w:r>
      <w:r w:rsidR="001C5E3B">
        <w:rPr>
          <w:color w:val="000000"/>
          <w:lang w:val="pt-BR" w:eastAsia="pt-BR"/>
        </w:rPr>
        <w:t>voltados aos fazeres, saberes e à</w:t>
      </w:r>
      <w:r w:rsidR="00A0077A" w:rsidRPr="00A0077A">
        <w:rPr>
          <w:color w:val="000000"/>
          <w:lang w:val="pt-BR" w:eastAsia="pt-BR"/>
        </w:rPr>
        <w:t xml:space="preserve"> arte</w:t>
      </w:r>
      <w:r w:rsidR="001C5E3B">
        <w:rPr>
          <w:color w:val="000000"/>
          <w:lang w:val="pt-BR" w:eastAsia="pt-BR"/>
        </w:rPr>
        <w:t>. Destacamos ainda a estratégia de abordagem ecológica: ta</w:t>
      </w:r>
      <w:r w:rsidR="00A0077A" w:rsidRPr="00A0077A">
        <w:rPr>
          <w:color w:val="000000"/>
          <w:lang w:val="pt-BR" w:eastAsia="pt-BR"/>
        </w:rPr>
        <w:t>nto no canal Futura quanto no OFF</w:t>
      </w:r>
      <w:r w:rsidR="001C5E3B">
        <w:rPr>
          <w:color w:val="000000"/>
          <w:lang w:val="pt-BR" w:eastAsia="pt-BR"/>
        </w:rPr>
        <w:t>,</w:t>
      </w:r>
      <w:r w:rsidR="00A0077A" w:rsidRPr="00A0077A">
        <w:rPr>
          <w:color w:val="000000"/>
          <w:lang w:val="pt-BR" w:eastAsia="pt-BR"/>
        </w:rPr>
        <w:t xml:space="preserve"> observa-se uma ênfase na biodiversidade</w:t>
      </w:r>
      <w:r w:rsidR="001C5E3B">
        <w:rPr>
          <w:color w:val="000000"/>
          <w:lang w:val="pt-BR" w:eastAsia="pt-BR"/>
        </w:rPr>
        <w:t xml:space="preserve"> e debates sobre o desenvolvimento sustentável.</w:t>
      </w:r>
      <w:r w:rsidR="00A0077A" w:rsidRPr="00A0077A">
        <w:rPr>
          <w:color w:val="000000"/>
          <w:lang w:val="pt-BR" w:eastAsia="pt-BR"/>
        </w:rPr>
        <w:t xml:space="preserve"> A grande particularidade apresentada no Canal OFF</w:t>
      </w:r>
      <w:r w:rsidR="001C5E3B">
        <w:rPr>
          <w:color w:val="000000"/>
          <w:lang w:val="pt-BR" w:eastAsia="pt-BR"/>
        </w:rPr>
        <w:t xml:space="preserve"> é outro ponto de diferenciação: com</w:t>
      </w:r>
      <w:r w:rsidR="00A0077A" w:rsidRPr="00A0077A">
        <w:rPr>
          <w:color w:val="000000"/>
          <w:lang w:val="pt-BR" w:eastAsia="pt-BR"/>
        </w:rPr>
        <w:t xml:space="preserve"> </w:t>
      </w:r>
      <w:r w:rsidR="001C5E3B">
        <w:rPr>
          <w:color w:val="000000"/>
          <w:lang w:val="pt-BR" w:eastAsia="pt-BR"/>
        </w:rPr>
        <w:t>um</w:t>
      </w:r>
      <w:r w:rsidR="00A0077A" w:rsidRPr="00A0077A">
        <w:rPr>
          <w:color w:val="000000"/>
          <w:lang w:val="pt-BR" w:eastAsia="pt-BR"/>
        </w:rPr>
        <w:t xml:space="preserve">a abordagem no esporte, </w:t>
      </w:r>
      <w:r w:rsidR="001C5E3B">
        <w:rPr>
          <w:color w:val="000000"/>
          <w:lang w:val="pt-BR" w:eastAsia="pt-BR"/>
        </w:rPr>
        <w:t>nota-se propensão a explorar</w:t>
      </w:r>
      <w:r w:rsidR="00A0077A" w:rsidRPr="00A0077A">
        <w:rPr>
          <w:color w:val="000000"/>
          <w:lang w:val="pt-BR" w:eastAsia="pt-BR"/>
        </w:rPr>
        <w:t xml:space="preserve"> etnias, classes </w:t>
      </w:r>
      <w:r w:rsidR="001C5E3B">
        <w:rPr>
          <w:color w:val="000000"/>
          <w:lang w:val="pt-BR" w:eastAsia="pt-BR"/>
        </w:rPr>
        <w:t>sociais, grupos sociais como pessoas com deficiência e regiões do Brasil.</w:t>
      </w:r>
      <w:r w:rsidR="00A0077A" w:rsidRPr="00A0077A">
        <w:rPr>
          <w:color w:val="000000"/>
          <w:lang w:val="pt-BR" w:eastAsia="pt-BR"/>
        </w:rPr>
        <w:t> </w:t>
      </w:r>
    </w:p>
    <w:p w14:paraId="5DC5EA61" w14:textId="671E9024" w:rsidR="00F363E9" w:rsidRDefault="00F363E9" w:rsidP="001C5E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F363E9">
        <w:rPr>
          <w:b/>
          <w:bCs/>
          <w:color w:val="000000"/>
          <w:lang w:val="pt-BR"/>
        </w:rPr>
        <w:t>4</w:t>
      </w:r>
      <w:r w:rsidRPr="00F363E9">
        <w:rPr>
          <w:b/>
          <w:bCs/>
          <w:color w:val="000000"/>
          <w:lang w:val="pt-BR"/>
        </w:rPr>
        <w:t xml:space="preserve">. Resultados </w:t>
      </w:r>
      <w:r>
        <w:rPr>
          <w:b/>
          <w:bCs/>
          <w:color w:val="000000"/>
          <w:lang w:val="pt-BR"/>
        </w:rPr>
        <w:t xml:space="preserve">finais </w:t>
      </w:r>
    </w:p>
    <w:p w14:paraId="14E287D6" w14:textId="4A113606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BA735B">
        <w:rPr>
          <w:color w:val="000000"/>
          <w:lang w:val="pt-BR"/>
        </w:rPr>
        <w:lastRenderedPageBreak/>
        <w:t>A televisão brasileira revela, em sua diversidade de formatos e emissoras, modos distintos de narrar a alteridade e construir simbolicamente o “Outro”. A análise das grades e dos produtos audiovisuais realizadas entre 2024 e 2025 mostrou que, embora os conteúdos televisivos compartilhem o mesmo espaço midiático, a forma como representam a diferença varia substancialmente entre TV aberta e fechada. Essa constatação se torna evidente ao observar seus modos de mediação: enquanto canais fechados tendem a privilegiar experiências afetivas e narrativas de reconhecimento, a televisão aberta se apoia em discursos institucionais, reforçando fronteiras simbólicas e hierarquias de fala.</w:t>
      </w:r>
    </w:p>
    <w:p w14:paraId="5181CE7E" w14:textId="77777777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</w:p>
    <w:p w14:paraId="7BDBA8FD" w14:textId="596F6589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BA735B">
        <w:rPr>
          <w:color w:val="000000"/>
          <w:lang w:val="pt-BR"/>
        </w:rPr>
        <w:t>À luz de Stuart Hall, compreende-se que as identidades representadas na mídia não são fixas, mas articuladas dentro de discursos que as constroem e legitimam. A TV, como espaço de circulação massiva de sentidos, participa desse processo oferecendo posições de sujeito que são continuamente reforçadas ou contestadas. Roger Silverstone amplia essa reflexão ao afirmar que a mediação televisiva não é apenas uma ponte entre acontecimentos e espectadores; ela constitui o próprio ambiente moral no qual nos relacionamos com a diferença. Quando a televisão apresenta sujeitos marginalizados, comunidades distantes ou grupos vulneráveis, não apenas informa sobre eles</w:t>
      </w:r>
      <w:r>
        <w:rPr>
          <w:color w:val="000000"/>
          <w:lang w:val="pt-BR"/>
        </w:rPr>
        <w:t>,</w:t>
      </w:r>
      <w:r w:rsidRPr="00BA735B">
        <w:rPr>
          <w:color w:val="000000"/>
          <w:lang w:val="pt-BR"/>
        </w:rPr>
        <w:t xml:space="preserve"> ela estrutura como devemos percebê-los, sentir diante deles e nos posicionar moralmente. A advertência de </w:t>
      </w:r>
      <w:proofErr w:type="spellStart"/>
      <w:r w:rsidRPr="00BA735B">
        <w:rPr>
          <w:color w:val="000000"/>
          <w:lang w:val="pt-BR"/>
        </w:rPr>
        <w:t>Chimamanda</w:t>
      </w:r>
      <w:proofErr w:type="spellEnd"/>
      <w:r w:rsidRPr="00BA735B">
        <w:rPr>
          <w:color w:val="000000"/>
          <w:lang w:val="pt-BR"/>
        </w:rPr>
        <w:t xml:space="preserve"> </w:t>
      </w:r>
      <w:proofErr w:type="spellStart"/>
      <w:r w:rsidRPr="00BA735B">
        <w:rPr>
          <w:color w:val="000000"/>
          <w:lang w:val="pt-BR"/>
        </w:rPr>
        <w:t>Adichie</w:t>
      </w:r>
      <w:proofErr w:type="spellEnd"/>
      <w:r w:rsidRPr="00BA735B">
        <w:rPr>
          <w:color w:val="000000"/>
          <w:lang w:val="pt-BR"/>
        </w:rPr>
        <w:t xml:space="preserve"> contra o “perigo da história única” torna-se especialmente relevante nesse contexto, uma vez que a repetição de enquadramentos homogêneos cristaliza visões simplificadas e reforça desigualdades simbólicas.</w:t>
      </w:r>
    </w:p>
    <w:p w14:paraId="34EEDD5C" w14:textId="77777777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</w:p>
    <w:p w14:paraId="4AAED82E" w14:textId="77777777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BA735B">
        <w:rPr>
          <w:color w:val="000000"/>
          <w:lang w:val="pt-BR"/>
        </w:rPr>
        <w:t xml:space="preserve">A observação das grades de programação evidenciou essa tensão. As emissoras fechadas, como GNT, Futura, OFF </w:t>
      </w:r>
      <w:proofErr w:type="gramStart"/>
      <w:r w:rsidRPr="00BA735B">
        <w:rPr>
          <w:color w:val="000000"/>
          <w:lang w:val="pt-BR"/>
        </w:rPr>
        <w:t>e</w:t>
      </w:r>
      <w:proofErr w:type="gramEnd"/>
      <w:r w:rsidRPr="00BA735B">
        <w:rPr>
          <w:color w:val="000000"/>
          <w:lang w:val="pt-BR"/>
        </w:rPr>
        <w:t xml:space="preserve"> Modo Viagem, exploram uma alteridade marcada pela proximidade sensorial e afetiva. Seus programas valorizam narrativas de deslocamento, escuta e vivência cultural, permitindo ao público acompanhar histórias que emergem do próprio ponto de vista dos sujeitos representados. Em contrapartida, a TV aberta (Globo, Record, Band e SBT) estrutura a diferença a partir do jornalismo e de pautas factuais que, mesmo quando tratam de temas sociais relevantes, tendem a reforçar um olhar verticalizado em que o “outro” surge como objeto da notícia e não como sujeito da fala.</w:t>
      </w:r>
    </w:p>
    <w:p w14:paraId="30A83AAC" w14:textId="77777777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</w:p>
    <w:p w14:paraId="40DFA9C8" w14:textId="77777777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BA735B">
        <w:rPr>
          <w:color w:val="000000"/>
          <w:lang w:val="pt-BR"/>
        </w:rPr>
        <w:lastRenderedPageBreak/>
        <w:t xml:space="preserve">As análises aprofundadas dos quatro programas estudados mostram esse contraste com clareza. LGBT+60: Corpos </w:t>
      </w:r>
      <w:proofErr w:type="gramStart"/>
      <w:r w:rsidRPr="00BA735B">
        <w:rPr>
          <w:color w:val="000000"/>
          <w:lang w:val="pt-BR"/>
        </w:rPr>
        <w:t>que Resistam</w:t>
      </w:r>
      <w:proofErr w:type="gramEnd"/>
      <w:r w:rsidRPr="00BA735B">
        <w:rPr>
          <w:color w:val="000000"/>
          <w:lang w:val="pt-BR"/>
        </w:rPr>
        <w:t xml:space="preserve"> (Futura) é exemplar na construção de uma narrativa de empatia. Ao acompanhar Denise </w:t>
      </w:r>
      <w:proofErr w:type="spellStart"/>
      <w:r w:rsidRPr="00BA735B">
        <w:rPr>
          <w:color w:val="000000"/>
          <w:lang w:val="pt-BR"/>
        </w:rPr>
        <w:t>Taynáh</w:t>
      </w:r>
      <w:proofErr w:type="spellEnd"/>
      <w:r w:rsidRPr="00BA735B">
        <w:rPr>
          <w:color w:val="000000"/>
          <w:lang w:val="pt-BR"/>
        </w:rPr>
        <w:t>, mulher trans e negra com mais de 60 anos, a produção constrói uma representação que evita estereótipos e valoriza sua agência e complexidade. As cenas cotidianas e os depoimentos em primeira pessoa aproximam o público de sua subjetividade, reafirmando o que Lobato denomina “alteridade mediada pela escuta”. A narrativa não transforma a personagem em exceção ou em símbolo heroico, mas a apresenta em sua humanidade integral, articulando tensões entre visibilidade e reconhecimento sem recorrer à exotização.</w:t>
      </w:r>
    </w:p>
    <w:p w14:paraId="5F813A91" w14:textId="77777777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</w:p>
    <w:p w14:paraId="7BB0AF81" w14:textId="77777777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BA735B">
        <w:rPr>
          <w:color w:val="000000"/>
          <w:lang w:val="pt-BR"/>
        </w:rPr>
        <w:t>Situação semelhante ocorre em Avisa lá que eu vou (GNT), no episódio ambientado na Amazônia. Paulo Vieira assume o papel de mediador sensível, deslocando-se ao território com curiosidade e respeito. Seu humor não funciona como distanciamento, mas como aproximação, abrindo espaço para que comunidades amazônicas falem de si mesmas. A presença de um apresentador negro e nordestino também inverte o eixo tradicional da representação, conferindo mais autenticidade ao encontro. A narrativa, estruturada como um híbrido entre documentário e entretenimento, ativa marcos de diálogo, empatia e reconhecimento, destacando a complexidade cultural da região sem transformá-la em objeto exótico.</w:t>
      </w:r>
    </w:p>
    <w:p w14:paraId="4449D81B" w14:textId="77777777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</w:p>
    <w:p w14:paraId="5FF4618B" w14:textId="77777777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BA735B">
        <w:rPr>
          <w:color w:val="000000"/>
          <w:lang w:val="pt-BR"/>
        </w:rPr>
        <w:t>Em contraste, as edições analisadas do Jornal Nacional (Globo) e do Jornal da Record (Record), ambas de 24 de fevereiro de 2025, revelam o modo como o jornalismo televisivo tende a apresentar a alteridade sob a égide da institucionalidade. As matérias sobre enchentes, violência urbana, desigualdade social e questões indígenas organizam o mundo por meio de uma narrativa que Motta define como “dispositivo argumentativo”, na qual conflitos são hierarquizados e explicados a partir de uma autoridade discursiva. As imagens factuais, depoimentos breves e a figura do narrador-jornalista reforçam essa disposição. A alteridade, nesses casos, aparece marcada pela distância: os sujeitos representados são ouvidos de forma periférica, quase sempre a partir da dor, da vulnerabilidade ou da exceção.</w:t>
      </w:r>
    </w:p>
    <w:p w14:paraId="3D4EF441" w14:textId="77777777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</w:p>
    <w:p w14:paraId="18FD2487" w14:textId="2DD083CA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BA735B">
        <w:rPr>
          <w:color w:val="000000"/>
          <w:lang w:val="pt-BR"/>
        </w:rPr>
        <w:t xml:space="preserve">As estratégias narrativas utilizadas pelos telejornais ativam, de maneira recorrente, marcos de exotização, tensão e silenciamento. Em vez de promover reconhecimento, a estrutura jornalística reforça uma divisão entre quem narra e quem é </w:t>
      </w:r>
      <w:r w:rsidRPr="00BA735B">
        <w:rPr>
          <w:color w:val="000000"/>
          <w:lang w:val="pt-BR"/>
        </w:rPr>
        <w:lastRenderedPageBreak/>
        <w:t xml:space="preserve">narrado, reproduzindo aquilo que Silverstone denomina “colusão moral”, em que o público reconhece a diferença, mas permanece distante dela. Isso evidencia também o risco da “história única” descrito por </w:t>
      </w:r>
      <w:proofErr w:type="spellStart"/>
      <w:r w:rsidRPr="00BA735B">
        <w:rPr>
          <w:color w:val="000000"/>
          <w:lang w:val="pt-BR"/>
        </w:rPr>
        <w:t>Adichie</w:t>
      </w:r>
      <w:proofErr w:type="spellEnd"/>
      <w:r w:rsidRPr="00BA735B">
        <w:rPr>
          <w:color w:val="000000"/>
          <w:lang w:val="pt-BR"/>
        </w:rPr>
        <w:t>: ao enquadrar sujeitos sempre a partir do problema, do sofrimento ou do excepcional, a narrativa jornalística reduz sua pluralidade e os fixa em um único lugar de fala.</w:t>
      </w:r>
    </w:p>
    <w:p w14:paraId="426F0A63" w14:textId="77777777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</w:p>
    <w:p w14:paraId="38EE4C69" w14:textId="77777777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BA735B">
        <w:rPr>
          <w:color w:val="000000"/>
          <w:lang w:val="pt-BR"/>
        </w:rPr>
        <w:t xml:space="preserve">A comparação entre os programas evidencia que, no audiovisual brasileiro, a alteridade é uma construção profundamente atravessada por questões de poder simbólico. Enquanto LGBT+60 </w:t>
      </w:r>
      <w:proofErr w:type="gramStart"/>
      <w:r w:rsidRPr="00BA735B">
        <w:rPr>
          <w:color w:val="000000"/>
          <w:lang w:val="pt-BR"/>
        </w:rPr>
        <w:t>e Avisa</w:t>
      </w:r>
      <w:proofErr w:type="gramEnd"/>
      <w:r w:rsidRPr="00BA735B">
        <w:rPr>
          <w:color w:val="000000"/>
          <w:lang w:val="pt-BR"/>
        </w:rPr>
        <w:t xml:space="preserve"> lá que eu vou criam espaços narrativos que valorizam a presença e a voz do outro, os telejornais reforçam hierarquias discursivas que dificultam o reconhecimento pleno da diferença. Ambas as estratégias revelam não apenas modos de ver o Brasil, mas modos de decidir quem pode ser visto, ouvido e legitimado no espaço público televisivo.</w:t>
      </w:r>
    </w:p>
    <w:p w14:paraId="28F626D2" w14:textId="77777777" w:rsidR="00BA735B" w:rsidRPr="00BA735B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</w:p>
    <w:p w14:paraId="2FAEE2C0" w14:textId="26B30B8B" w:rsidR="0082361C" w:rsidRDefault="00BA735B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BA735B">
        <w:rPr>
          <w:color w:val="000000"/>
          <w:lang w:val="pt-BR"/>
        </w:rPr>
        <w:t>Assim, a televisão brasileira funciona como espelho e palco das disputas identitárias contemporâneas. Emissoras abertas e fechadas constroem, de modos distintos, as fronteiras da alteridade</w:t>
      </w:r>
      <w:r w:rsidR="006D407D">
        <w:rPr>
          <w:color w:val="000000"/>
          <w:lang w:val="pt-BR"/>
        </w:rPr>
        <w:t xml:space="preserve">, </w:t>
      </w:r>
      <w:r w:rsidRPr="00BA735B">
        <w:rPr>
          <w:color w:val="000000"/>
          <w:lang w:val="pt-BR"/>
        </w:rPr>
        <w:t>ora aproximando, ora distanciando o público do outro. Conforme Hall, identidades são continuamente formadas no discurso; e, conforme Silverstone, toda mediação é um ato moral. Compreender as narrativas televisivas, portanto, é compreender como o Brasil negocia suas diferenças, suas vozes e seus silenciamentos. Ao identificar essas disputas, torna-se possível avançar na construção de um ambiente midiático mais plural, ético e representativo</w:t>
      </w:r>
    </w:p>
    <w:p w14:paraId="2451580E" w14:textId="11F57E64" w:rsidR="001C56B2" w:rsidRPr="001C56B2" w:rsidRDefault="001C56B2" w:rsidP="00BA73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bCs/>
          <w:color w:val="000000"/>
          <w:lang w:val="pt-BR"/>
        </w:rPr>
      </w:pPr>
      <w:r w:rsidRPr="001C56B2">
        <w:rPr>
          <w:b/>
          <w:bCs/>
          <w:color w:val="000000"/>
          <w:lang w:val="pt-BR"/>
        </w:rPr>
        <w:t xml:space="preserve">5. Conclusão </w:t>
      </w:r>
    </w:p>
    <w:p w14:paraId="3430CE6F" w14:textId="414FA111" w:rsidR="001C56B2" w:rsidRPr="001C56B2" w:rsidRDefault="001C56B2" w:rsidP="001C56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1C56B2">
        <w:rPr>
          <w:color w:val="000000"/>
          <w:lang w:val="pt-BR"/>
        </w:rPr>
        <w:t>A análise integrada das grades televisivas, dos produtos audiovisuais examinados e do arcabouço teórico que sustenta esta pesquisa permite compreender a televisão brasileira como um campo de disputas simbólicas em constante movimento. As emissoras abertas e fechadas operam segundo lógicas distintas, mas igualmente atravessadas por tensões entre visibilidade, narrativa e poder. Enquanto os canais fechados constroem espaços de empatia mediados por estéticas sensoriais e afetivas — como visto em Avisa Lá Que Eu Vou, com Paulo Vieira, as emissoras abertas tendem a reinscrever o outro em estruturas tradicionais de representação, em que a alteridade é enquadrada de modo institucional e muitas vezes distante, como se observa no Jornal Nacional e em outros produtos jornalísticos.</w:t>
      </w:r>
    </w:p>
    <w:p w14:paraId="4F6C57EF" w14:textId="77777777" w:rsidR="001C56B2" w:rsidRPr="001C56B2" w:rsidRDefault="001C56B2" w:rsidP="001C56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</w:p>
    <w:p w14:paraId="0A763CFA" w14:textId="5B92371D" w:rsidR="001C56B2" w:rsidRPr="001C56B2" w:rsidRDefault="001C56B2" w:rsidP="001C56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1C56B2">
        <w:rPr>
          <w:color w:val="000000"/>
          <w:lang w:val="pt-BR"/>
        </w:rPr>
        <w:lastRenderedPageBreak/>
        <w:t xml:space="preserve">À luz de Stuart Hall, percebemos que a televisão atua como um dos principais mecanismos de formação e negociação de identidades na contemporaneidade. A instabilidade e fluidez do sujeito pós-moderno se manifestam nas disputas narrativas entre reconhecimento e silenciamento, entre aproximação e exotização. Hall lembra que a identidade é sempre um ponto de </w:t>
      </w:r>
      <w:r w:rsidRPr="001C56B2">
        <w:rPr>
          <w:color w:val="000000"/>
          <w:lang w:val="pt-BR"/>
        </w:rPr>
        <w:t>sutura um</w:t>
      </w:r>
      <w:r w:rsidRPr="001C56B2">
        <w:rPr>
          <w:color w:val="000000"/>
          <w:lang w:val="pt-BR"/>
        </w:rPr>
        <w:t xml:space="preserve"> entrelaçamento temporário entre discurso e </w:t>
      </w:r>
      <w:r w:rsidRPr="001C56B2">
        <w:rPr>
          <w:color w:val="000000"/>
          <w:lang w:val="pt-BR"/>
        </w:rPr>
        <w:t>experiência e</w:t>
      </w:r>
      <w:r w:rsidRPr="001C56B2">
        <w:rPr>
          <w:color w:val="000000"/>
          <w:lang w:val="pt-BR"/>
        </w:rPr>
        <w:t>, na TV, esse ponto é costurado diariamente por imagens, sons e histórias que moldam o modo como o país se percebe e percebe seus diferentes.</w:t>
      </w:r>
    </w:p>
    <w:p w14:paraId="55731079" w14:textId="77777777" w:rsidR="001C56B2" w:rsidRPr="001C56B2" w:rsidRDefault="001C56B2" w:rsidP="001C56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lang w:val="pt-BR"/>
        </w:rPr>
      </w:pPr>
    </w:p>
    <w:p w14:paraId="3A4BDD8E" w14:textId="77777777" w:rsidR="001C56B2" w:rsidRPr="001C56B2" w:rsidRDefault="001C56B2" w:rsidP="001C56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1C56B2">
        <w:rPr>
          <w:color w:val="000000"/>
          <w:lang w:val="pt-BR"/>
        </w:rPr>
        <w:t xml:space="preserve">Ao mesmo tempo, a advertência de </w:t>
      </w:r>
      <w:proofErr w:type="spellStart"/>
      <w:r w:rsidRPr="001C56B2">
        <w:rPr>
          <w:color w:val="000000"/>
          <w:lang w:val="pt-BR"/>
        </w:rPr>
        <w:t>Chimamanda</w:t>
      </w:r>
      <w:proofErr w:type="spellEnd"/>
      <w:r w:rsidRPr="001C56B2">
        <w:rPr>
          <w:color w:val="000000"/>
          <w:lang w:val="pt-BR"/>
        </w:rPr>
        <w:t xml:space="preserve"> </w:t>
      </w:r>
      <w:proofErr w:type="spellStart"/>
      <w:r w:rsidRPr="001C56B2">
        <w:rPr>
          <w:color w:val="000000"/>
          <w:lang w:val="pt-BR"/>
        </w:rPr>
        <w:t>Ngozi</w:t>
      </w:r>
      <w:proofErr w:type="spellEnd"/>
      <w:r w:rsidRPr="001C56B2">
        <w:rPr>
          <w:color w:val="000000"/>
          <w:lang w:val="pt-BR"/>
        </w:rPr>
        <w:t xml:space="preserve"> </w:t>
      </w:r>
      <w:proofErr w:type="spellStart"/>
      <w:r w:rsidRPr="001C56B2">
        <w:rPr>
          <w:color w:val="000000"/>
          <w:lang w:val="pt-BR"/>
        </w:rPr>
        <w:t>Adichie</w:t>
      </w:r>
      <w:proofErr w:type="spellEnd"/>
      <w:r w:rsidRPr="001C56B2">
        <w:rPr>
          <w:color w:val="000000"/>
          <w:lang w:val="pt-BR"/>
        </w:rPr>
        <w:t xml:space="preserve"> sobre o “perigo de uma história única” ressoa intensamente ao observarmos como certas identidades são reduzidas a estereótipos estáveis. Quando a TV aberta repete narrativas que associam o outro à violência, ao risco ou à vulnerabilidade eterna, cria-se uma camada simbólica que naturaliza essas posições. Por outro lado, quando a TV fechada estetiza a diferença, corre o risco de transformá-la em produto de consumo, suavizando conflitos reais e reforçando uma visão turística da alteridade.</w:t>
      </w:r>
    </w:p>
    <w:p w14:paraId="0B7F6422" w14:textId="77777777" w:rsidR="001C56B2" w:rsidRPr="001C56B2" w:rsidRDefault="001C56B2" w:rsidP="001C56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</w:p>
    <w:p w14:paraId="31313422" w14:textId="33092C72" w:rsidR="001C56B2" w:rsidRPr="001C56B2" w:rsidRDefault="001C56B2" w:rsidP="001C56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1C56B2">
        <w:rPr>
          <w:color w:val="000000"/>
          <w:lang w:val="pt-BR"/>
        </w:rPr>
        <w:t xml:space="preserve">Os programas analisados mostram que a televisão brasileira habita esse terreno ambíguo: ora reconhece a pluralidade, ora a limita. Em Avisa Lá Que Eu Vou, a presença de Paulo Vieira um apresentador negro, nordestino e pertencente a um grupo historicamente </w:t>
      </w:r>
      <w:proofErr w:type="spellStart"/>
      <w:r w:rsidRPr="001C56B2">
        <w:rPr>
          <w:color w:val="000000"/>
          <w:lang w:val="pt-BR"/>
        </w:rPr>
        <w:t>sub-representado</w:t>
      </w:r>
      <w:proofErr w:type="spellEnd"/>
      <w:r>
        <w:rPr>
          <w:color w:val="000000"/>
          <w:lang w:val="pt-BR"/>
        </w:rPr>
        <w:t>,</w:t>
      </w:r>
      <w:r w:rsidRPr="001C56B2">
        <w:rPr>
          <w:color w:val="000000"/>
          <w:lang w:val="pt-BR"/>
        </w:rPr>
        <w:t xml:space="preserve"> reconfigura as tradicionais hierarquias de enunciação e desafia o olhar hegemônico sobre as regiões e culturas brasileiras. Já o telejornalismo, embora essencial para o debate público, frequentemente reforça categorias fixas de diferença, enfatizando o drama e a excepcionalidade em detrimento da agência e da complexidade.</w:t>
      </w:r>
    </w:p>
    <w:p w14:paraId="47A9D6A4" w14:textId="77777777" w:rsidR="001C56B2" w:rsidRPr="001C56B2" w:rsidRDefault="001C56B2" w:rsidP="001C56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</w:p>
    <w:p w14:paraId="599C26B2" w14:textId="77777777" w:rsidR="001C56B2" w:rsidRPr="001C56B2" w:rsidRDefault="001C56B2" w:rsidP="001C56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1C56B2">
        <w:rPr>
          <w:color w:val="000000"/>
          <w:lang w:val="pt-BR"/>
        </w:rPr>
        <w:t>Assim, esta pesquisa evidencia que a representação da alteridade na televisão brasileira não é homogênea, tampouco linear. Ela é atravessada por múltiplas estratégias narrativas que revelam, de um lado, tentativas de promover reconhecimento e diálogo, e, de outro, mecanismos de controle simbólico que limitam o alcance dessas vozes. A televisão continua sendo um campo privilegiado para observar essas tensões, pois nela se cruzam estética, política e cotidiano.</w:t>
      </w:r>
    </w:p>
    <w:p w14:paraId="568561B0" w14:textId="77777777" w:rsidR="001C56B2" w:rsidRPr="001C56B2" w:rsidRDefault="001C56B2" w:rsidP="001C56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</w:p>
    <w:p w14:paraId="6C9AD33E" w14:textId="13839C0B" w:rsidR="001C56B2" w:rsidRDefault="001C56B2" w:rsidP="001C56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1C56B2">
        <w:rPr>
          <w:color w:val="000000"/>
          <w:lang w:val="pt-BR"/>
        </w:rPr>
        <w:t xml:space="preserve">Conclui-se, portanto, que a pluralidade de narrativas ainda é um desafio no audiovisual brasileiro. Para além de classificar emissoras como “boas” ou “más” na </w:t>
      </w:r>
      <w:r w:rsidRPr="001C56B2">
        <w:rPr>
          <w:color w:val="000000"/>
          <w:lang w:val="pt-BR"/>
        </w:rPr>
        <w:lastRenderedPageBreak/>
        <w:t>representação da diferença, o que emerge desta análise é a necessidade de observar como cada produto televisivo</w:t>
      </w:r>
      <w:r>
        <w:rPr>
          <w:color w:val="000000"/>
          <w:lang w:val="pt-BR"/>
        </w:rPr>
        <w:t>, i</w:t>
      </w:r>
      <w:r w:rsidRPr="001C56B2">
        <w:rPr>
          <w:color w:val="000000"/>
          <w:lang w:val="pt-BR"/>
        </w:rPr>
        <w:t>nformativo ou de entretenimento</w:t>
      </w:r>
      <w:r>
        <w:rPr>
          <w:color w:val="000000"/>
          <w:lang w:val="pt-BR"/>
        </w:rPr>
        <w:t xml:space="preserve">, </w:t>
      </w:r>
      <w:r w:rsidRPr="001C56B2">
        <w:rPr>
          <w:color w:val="000000"/>
          <w:lang w:val="pt-BR"/>
        </w:rPr>
        <w:t>opera dentro de estruturas históricas, culturais e discursivas específicas. A TV, ao mesmo tempo em que reflete a sociedade, participa ativamente da construção dos imaginários coletivos que definem quem somos e quem podemos ser. A alteridade, nesse contexto, não é apenas um tema: é um convite permanente a repensar as formas de narrar o Brasil.</w:t>
      </w:r>
    </w:p>
    <w:p w14:paraId="79811AEC" w14:textId="77777777" w:rsidR="00767801" w:rsidRPr="00364DA9" w:rsidRDefault="007678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t-BR"/>
        </w:rPr>
      </w:pPr>
    </w:p>
    <w:p w14:paraId="633DA80E" w14:textId="77777777" w:rsidR="0082361C" w:rsidRPr="00364DA9" w:rsidRDefault="008236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t-BR"/>
        </w:rPr>
      </w:pPr>
    </w:p>
    <w:p w14:paraId="4F6505CA" w14:textId="77777777" w:rsidR="0082361C" w:rsidRPr="00364DA9" w:rsidRDefault="009F075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pt-BR"/>
        </w:rPr>
      </w:pPr>
      <w:r w:rsidRPr="00364DA9">
        <w:rPr>
          <w:b/>
          <w:color w:val="000000"/>
          <w:lang w:val="pt-BR"/>
        </w:rPr>
        <w:t>REFERÊNCIAS</w:t>
      </w:r>
    </w:p>
    <w:p w14:paraId="12BFB7C8" w14:textId="77777777" w:rsidR="0082361C" w:rsidRPr="00364DA9" w:rsidRDefault="008236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val="pt-BR"/>
        </w:rPr>
      </w:pPr>
    </w:p>
    <w:p w14:paraId="30429F59" w14:textId="77777777" w:rsidR="00006F73" w:rsidRPr="00D264B6" w:rsidRDefault="00006F73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  <w:r w:rsidRPr="00D264B6">
        <w:rPr>
          <w:b w:val="0"/>
          <w:i w:val="0"/>
          <w:sz w:val="21"/>
          <w:szCs w:val="21"/>
          <w:lang w:val="pt-BR"/>
        </w:rPr>
        <w:t xml:space="preserve">BHABHA, </w:t>
      </w:r>
      <w:proofErr w:type="spellStart"/>
      <w:r w:rsidRPr="00D264B6">
        <w:rPr>
          <w:b w:val="0"/>
          <w:i w:val="0"/>
          <w:sz w:val="21"/>
          <w:szCs w:val="21"/>
          <w:lang w:val="pt-BR"/>
        </w:rPr>
        <w:t>Homi</w:t>
      </w:r>
      <w:proofErr w:type="spellEnd"/>
      <w:r w:rsidRPr="00D264B6">
        <w:rPr>
          <w:b w:val="0"/>
          <w:i w:val="0"/>
          <w:sz w:val="21"/>
          <w:szCs w:val="21"/>
          <w:lang w:val="pt-BR"/>
        </w:rPr>
        <w:t xml:space="preserve">. </w:t>
      </w:r>
      <w:r w:rsidRPr="00D264B6">
        <w:rPr>
          <w:bCs/>
          <w:i w:val="0"/>
          <w:sz w:val="21"/>
          <w:szCs w:val="21"/>
          <w:lang w:val="pt-BR"/>
        </w:rPr>
        <w:t>O local da cultura</w:t>
      </w:r>
      <w:r w:rsidRPr="00D264B6">
        <w:rPr>
          <w:b w:val="0"/>
          <w:i w:val="0"/>
          <w:sz w:val="21"/>
          <w:szCs w:val="21"/>
          <w:lang w:val="pt-BR"/>
        </w:rPr>
        <w:t>. Belo Horizonte: UFMG, 1998.</w:t>
      </w:r>
    </w:p>
    <w:p w14:paraId="73523187" w14:textId="77777777" w:rsidR="00006F73" w:rsidRPr="00D264B6" w:rsidRDefault="00006F73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</w:p>
    <w:p w14:paraId="2B1F5B0E" w14:textId="002B7888" w:rsidR="00767801" w:rsidRPr="00D264B6" w:rsidRDefault="00767801" w:rsidP="00767801">
      <w:pPr>
        <w:rPr>
          <w:color w:val="000000"/>
          <w:sz w:val="21"/>
          <w:szCs w:val="21"/>
          <w:lang w:val="pt-BR"/>
        </w:rPr>
      </w:pPr>
      <w:r w:rsidRPr="00D264B6">
        <w:rPr>
          <w:color w:val="000000"/>
          <w:sz w:val="21"/>
          <w:szCs w:val="21"/>
          <w:lang w:val="pt-BR"/>
        </w:rPr>
        <w:t xml:space="preserve">GOMES, </w:t>
      </w:r>
      <w:proofErr w:type="spellStart"/>
      <w:r w:rsidRPr="00D264B6">
        <w:rPr>
          <w:color w:val="000000"/>
          <w:sz w:val="21"/>
          <w:szCs w:val="21"/>
          <w:lang w:val="pt-BR"/>
        </w:rPr>
        <w:t>Itania</w:t>
      </w:r>
      <w:proofErr w:type="spellEnd"/>
      <w:r w:rsidRPr="00D264B6">
        <w:rPr>
          <w:color w:val="000000"/>
          <w:sz w:val="21"/>
          <w:szCs w:val="21"/>
          <w:lang w:val="pt-BR"/>
        </w:rPr>
        <w:t xml:space="preserve"> (Org.). </w:t>
      </w:r>
      <w:r w:rsidRPr="00D264B6">
        <w:rPr>
          <w:b/>
          <w:bCs/>
          <w:color w:val="000000"/>
          <w:sz w:val="21"/>
          <w:szCs w:val="21"/>
          <w:lang w:val="pt-BR"/>
        </w:rPr>
        <w:t>Televisão e realidade</w:t>
      </w:r>
      <w:r w:rsidRPr="00D264B6">
        <w:rPr>
          <w:color w:val="000000"/>
          <w:sz w:val="21"/>
          <w:szCs w:val="21"/>
          <w:lang w:val="pt-BR"/>
        </w:rPr>
        <w:t>. Salvador: EDUFBA, 2009.</w:t>
      </w:r>
    </w:p>
    <w:p w14:paraId="29B9B64D" w14:textId="77777777" w:rsidR="00767801" w:rsidRPr="00D264B6" w:rsidRDefault="00767801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</w:p>
    <w:p w14:paraId="06E7E876" w14:textId="1B75051F" w:rsidR="00006F73" w:rsidRPr="00D264B6" w:rsidRDefault="00006F73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  <w:r w:rsidRPr="00D264B6">
        <w:rPr>
          <w:b w:val="0"/>
          <w:i w:val="0"/>
          <w:sz w:val="21"/>
          <w:szCs w:val="21"/>
          <w:lang w:val="pt-BR"/>
        </w:rPr>
        <w:t>HALL, Stuart</w:t>
      </w:r>
      <w:r w:rsidRPr="00D264B6">
        <w:rPr>
          <w:bCs/>
          <w:i w:val="0"/>
          <w:sz w:val="21"/>
          <w:szCs w:val="21"/>
          <w:lang w:val="pt-BR"/>
        </w:rPr>
        <w:t>. A identidade cultural na pós-modernidade</w:t>
      </w:r>
      <w:r w:rsidRPr="00D264B6">
        <w:rPr>
          <w:b w:val="0"/>
          <w:i w:val="0"/>
          <w:sz w:val="21"/>
          <w:szCs w:val="21"/>
          <w:lang w:val="pt-BR"/>
        </w:rPr>
        <w:t xml:space="preserve">. Rio de Janeiro: </w:t>
      </w:r>
      <w:proofErr w:type="spellStart"/>
      <w:r w:rsidRPr="00D264B6">
        <w:rPr>
          <w:b w:val="0"/>
          <w:i w:val="0"/>
          <w:sz w:val="21"/>
          <w:szCs w:val="21"/>
          <w:lang w:val="pt-BR"/>
        </w:rPr>
        <w:t>Guaracira</w:t>
      </w:r>
      <w:proofErr w:type="spellEnd"/>
      <w:r w:rsidRPr="00D264B6">
        <w:rPr>
          <w:b w:val="0"/>
          <w:i w:val="0"/>
          <w:sz w:val="21"/>
          <w:szCs w:val="21"/>
          <w:lang w:val="pt-BR"/>
        </w:rPr>
        <w:t>, 2001.</w:t>
      </w:r>
    </w:p>
    <w:p w14:paraId="2BC5E00C" w14:textId="77777777" w:rsidR="00006F73" w:rsidRPr="00D264B6" w:rsidRDefault="00006F73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</w:p>
    <w:p w14:paraId="09CDA327" w14:textId="3342FBE2" w:rsidR="00006F73" w:rsidRPr="00D264B6" w:rsidRDefault="00006F73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  <w:r w:rsidRPr="00D264B6">
        <w:rPr>
          <w:b w:val="0"/>
          <w:i w:val="0"/>
          <w:sz w:val="21"/>
          <w:szCs w:val="21"/>
          <w:lang w:val="pt-BR"/>
        </w:rPr>
        <w:t xml:space="preserve">HALL, Stuart. </w:t>
      </w:r>
      <w:r w:rsidRPr="00D264B6">
        <w:rPr>
          <w:bCs/>
          <w:i w:val="0"/>
          <w:sz w:val="21"/>
          <w:szCs w:val="21"/>
          <w:lang w:val="pt-BR"/>
        </w:rPr>
        <w:t>Cultura e representação</w:t>
      </w:r>
      <w:r w:rsidRPr="00D264B6">
        <w:rPr>
          <w:b w:val="0"/>
          <w:i w:val="0"/>
          <w:sz w:val="21"/>
          <w:szCs w:val="21"/>
          <w:lang w:val="pt-BR"/>
        </w:rPr>
        <w:t xml:space="preserve">. Rio de Janeiro: </w:t>
      </w:r>
      <w:proofErr w:type="spellStart"/>
      <w:r w:rsidRPr="00D264B6">
        <w:rPr>
          <w:b w:val="0"/>
          <w:i w:val="0"/>
          <w:sz w:val="21"/>
          <w:szCs w:val="21"/>
          <w:lang w:val="pt-BR"/>
        </w:rPr>
        <w:t>Apicuri</w:t>
      </w:r>
      <w:proofErr w:type="spellEnd"/>
      <w:r w:rsidRPr="00D264B6">
        <w:rPr>
          <w:b w:val="0"/>
          <w:i w:val="0"/>
          <w:sz w:val="21"/>
          <w:szCs w:val="21"/>
          <w:lang w:val="pt-BR"/>
        </w:rPr>
        <w:t xml:space="preserve"> / PUC Rio, 2016.</w:t>
      </w:r>
    </w:p>
    <w:p w14:paraId="30F8D00F" w14:textId="75FCB49C" w:rsidR="00006F73" w:rsidRPr="00D264B6" w:rsidRDefault="00006F73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  <w:r w:rsidRPr="00D264B6">
        <w:rPr>
          <w:b w:val="0"/>
          <w:i w:val="0"/>
          <w:sz w:val="21"/>
          <w:szCs w:val="21"/>
          <w:lang w:val="pt-BR"/>
        </w:rPr>
        <w:t>MOSCOVICI, Serge. Representações sociais: investigações em psicologia social. Rio de Janeiro: Vozes, 2003.</w:t>
      </w:r>
    </w:p>
    <w:p w14:paraId="5EBBCE11" w14:textId="77777777" w:rsidR="00006F73" w:rsidRPr="00D264B6" w:rsidRDefault="00006F73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</w:p>
    <w:p w14:paraId="3137BF28" w14:textId="2758A7B9" w:rsidR="00006F73" w:rsidRPr="00D264B6" w:rsidRDefault="00006F73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  <w:r w:rsidRPr="00D264B6">
        <w:rPr>
          <w:b w:val="0"/>
          <w:i w:val="0"/>
          <w:sz w:val="21"/>
          <w:szCs w:val="21"/>
          <w:lang w:val="pt-BR"/>
        </w:rPr>
        <w:t xml:space="preserve">LOBATO, José Augusto Mendes. </w:t>
      </w:r>
      <w:r w:rsidRPr="00D264B6">
        <w:rPr>
          <w:bCs/>
          <w:i w:val="0"/>
          <w:sz w:val="21"/>
          <w:szCs w:val="21"/>
          <w:lang w:val="pt-BR"/>
        </w:rPr>
        <w:t>A alteridade na ficção seriada e na grande reportagem.</w:t>
      </w:r>
      <w:r w:rsidRPr="00D264B6">
        <w:rPr>
          <w:b w:val="0"/>
          <w:i w:val="0"/>
          <w:sz w:val="21"/>
          <w:szCs w:val="21"/>
          <w:lang w:val="pt-BR"/>
        </w:rPr>
        <w:t xml:space="preserve"> Um estudo sobre as estratégias de representação do outro na narrativa televisual brasileira. Tese (Doutorado em Teoria e Pesquisa em Comunicação)</w:t>
      </w:r>
      <w:r w:rsidR="00E275CB" w:rsidRPr="00D264B6">
        <w:rPr>
          <w:b w:val="0"/>
          <w:i w:val="0"/>
          <w:sz w:val="21"/>
          <w:szCs w:val="21"/>
          <w:lang w:val="pt-BR"/>
        </w:rPr>
        <w:t xml:space="preserve">, Universidade de São Paulo, </w:t>
      </w:r>
      <w:r w:rsidRPr="00D264B6">
        <w:rPr>
          <w:b w:val="0"/>
          <w:i w:val="0"/>
          <w:sz w:val="21"/>
          <w:szCs w:val="21"/>
          <w:lang w:val="pt-BR"/>
        </w:rPr>
        <w:t>2017. doi:10.11606/T.27.2017.tde-31052017-102241.</w:t>
      </w:r>
    </w:p>
    <w:p w14:paraId="6B95B364" w14:textId="77777777" w:rsidR="00767801" w:rsidRPr="00D264B6" w:rsidRDefault="00767801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</w:p>
    <w:p w14:paraId="214B44DF" w14:textId="39F3B4BD" w:rsidR="00767801" w:rsidRPr="00D264B6" w:rsidRDefault="00767801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  <w:r w:rsidRPr="00D264B6">
        <w:rPr>
          <w:b w:val="0"/>
          <w:i w:val="0"/>
          <w:sz w:val="21"/>
          <w:szCs w:val="21"/>
          <w:lang w:val="pt-BR"/>
        </w:rPr>
        <w:t xml:space="preserve">LOBATO, José Augusto Mendes. A narração de alteridade na ficção e na grande reportagem: apontamentos sobre os modos de representação do outro na televisão brasileira. </w:t>
      </w:r>
      <w:proofErr w:type="spellStart"/>
      <w:r w:rsidRPr="00D264B6">
        <w:rPr>
          <w:bCs/>
          <w:i w:val="0"/>
          <w:sz w:val="21"/>
          <w:szCs w:val="21"/>
          <w:lang w:val="pt-BR"/>
        </w:rPr>
        <w:t>RuMoRes</w:t>
      </w:r>
      <w:proofErr w:type="spellEnd"/>
      <w:r w:rsidRPr="00D264B6">
        <w:rPr>
          <w:b w:val="0"/>
          <w:i w:val="0"/>
          <w:sz w:val="21"/>
          <w:szCs w:val="21"/>
          <w:lang w:val="pt-BR"/>
        </w:rPr>
        <w:t xml:space="preserve">, [S. l.], v. 12, n. 23, p. 299–318, 2018. DOI: 10.11606/issn.1982-677X.rum.2018.137943. </w:t>
      </w:r>
    </w:p>
    <w:p w14:paraId="4DA2B2A1" w14:textId="77777777" w:rsidR="00767801" w:rsidRPr="00D264B6" w:rsidRDefault="00767801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</w:p>
    <w:p w14:paraId="2D7B3818" w14:textId="0F079658" w:rsidR="00767801" w:rsidRPr="00D264B6" w:rsidRDefault="00767801" w:rsidP="00006F73">
      <w:pPr>
        <w:pStyle w:val="Subttulo"/>
        <w:jc w:val="left"/>
        <w:rPr>
          <w:b w:val="0"/>
          <w:i w:val="0"/>
          <w:sz w:val="21"/>
          <w:szCs w:val="21"/>
        </w:rPr>
      </w:pPr>
      <w:r w:rsidRPr="00D264B6">
        <w:rPr>
          <w:b w:val="0"/>
          <w:i w:val="0"/>
          <w:sz w:val="21"/>
          <w:szCs w:val="21"/>
          <w:lang w:val="pt-BR"/>
        </w:rPr>
        <w:t xml:space="preserve">RAMOS; José Mario Ortiz; BUENO, Maria Lucia. Cultura audiovisual e arte contemporânea. </w:t>
      </w:r>
      <w:r w:rsidRPr="00D264B6">
        <w:rPr>
          <w:bCs/>
          <w:i w:val="0"/>
          <w:sz w:val="21"/>
          <w:szCs w:val="21"/>
        </w:rPr>
        <w:t xml:space="preserve">São Paulo </w:t>
      </w:r>
      <w:proofErr w:type="spellStart"/>
      <w:r w:rsidRPr="00D264B6">
        <w:rPr>
          <w:bCs/>
          <w:i w:val="0"/>
          <w:sz w:val="21"/>
          <w:szCs w:val="21"/>
        </w:rPr>
        <w:t>em</w:t>
      </w:r>
      <w:proofErr w:type="spellEnd"/>
      <w:r w:rsidRPr="00D264B6">
        <w:rPr>
          <w:bCs/>
          <w:i w:val="0"/>
          <w:sz w:val="21"/>
          <w:szCs w:val="21"/>
        </w:rPr>
        <w:t xml:space="preserve"> </w:t>
      </w:r>
      <w:proofErr w:type="spellStart"/>
      <w:r w:rsidRPr="00D264B6">
        <w:rPr>
          <w:bCs/>
          <w:i w:val="0"/>
          <w:sz w:val="21"/>
          <w:szCs w:val="21"/>
        </w:rPr>
        <w:t>Perspectiva</w:t>
      </w:r>
      <w:proofErr w:type="spellEnd"/>
      <w:r w:rsidRPr="00D264B6">
        <w:rPr>
          <w:b w:val="0"/>
          <w:i w:val="0"/>
          <w:sz w:val="21"/>
          <w:szCs w:val="21"/>
        </w:rPr>
        <w:t>, 2001, v. 15, ed. 3.</w:t>
      </w:r>
    </w:p>
    <w:p w14:paraId="41DA1D46" w14:textId="77777777" w:rsidR="00767801" w:rsidRPr="00D264B6" w:rsidRDefault="00767801" w:rsidP="00006F73">
      <w:pPr>
        <w:pStyle w:val="Subttulo"/>
        <w:jc w:val="left"/>
        <w:rPr>
          <w:b w:val="0"/>
          <w:i w:val="0"/>
          <w:sz w:val="21"/>
          <w:szCs w:val="21"/>
        </w:rPr>
      </w:pPr>
    </w:p>
    <w:p w14:paraId="54528E77" w14:textId="6131091E" w:rsidR="00006F73" w:rsidRPr="00D264B6" w:rsidRDefault="00006F73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  <w:r w:rsidRPr="00D264B6">
        <w:rPr>
          <w:b w:val="0"/>
          <w:i w:val="0"/>
          <w:sz w:val="21"/>
          <w:szCs w:val="21"/>
        </w:rPr>
        <w:t xml:space="preserve">SILVERSTONE, Roger. Complicity and collusion in the mediation of everyday life. </w:t>
      </w:r>
      <w:r w:rsidRPr="00D264B6">
        <w:rPr>
          <w:bCs/>
          <w:i w:val="0"/>
          <w:sz w:val="21"/>
          <w:szCs w:val="21"/>
          <w:lang w:val="pt-BR"/>
        </w:rPr>
        <w:t xml:space="preserve">New </w:t>
      </w:r>
      <w:proofErr w:type="spellStart"/>
      <w:r w:rsidRPr="00D264B6">
        <w:rPr>
          <w:bCs/>
          <w:i w:val="0"/>
          <w:sz w:val="21"/>
          <w:szCs w:val="21"/>
          <w:lang w:val="pt-BR"/>
        </w:rPr>
        <w:t>Literary</w:t>
      </w:r>
      <w:proofErr w:type="spellEnd"/>
      <w:r w:rsidRPr="00D264B6">
        <w:rPr>
          <w:bCs/>
          <w:i w:val="0"/>
          <w:sz w:val="21"/>
          <w:szCs w:val="21"/>
          <w:lang w:val="pt-BR"/>
        </w:rPr>
        <w:t xml:space="preserve"> </w:t>
      </w:r>
      <w:proofErr w:type="spellStart"/>
      <w:r w:rsidRPr="00D264B6">
        <w:rPr>
          <w:bCs/>
          <w:i w:val="0"/>
          <w:sz w:val="21"/>
          <w:szCs w:val="21"/>
          <w:lang w:val="pt-BR"/>
        </w:rPr>
        <w:t>History</w:t>
      </w:r>
      <w:proofErr w:type="spellEnd"/>
      <w:r w:rsidRPr="00D264B6">
        <w:rPr>
          <w:b w:val="0"/>
          <w:i w:val="0"/>
          <w:sz w:val="21"/>
          <w:szCs w:val="21"/>
          <w:lang w:val="pt-BR"/>
        </w:rPr>
        <w:t>, 2002, v.33, p.761-780.</w:t>
      </w:r>
    </w:p>
    <w:p w14:paraId="1FCC26EC" w14:textId="77777777" w:rsidR="00E275CB" w:rsidRPr="00D264B6" w:rsidRDefault="00E275CB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</w:p>
    <w:p w14:paraId="2C6DD27B" w14:textId="0432534C" w:rsidR="00E275CB" w:rsidRPr="00D264B6" w:rsidRDefault="00E275CB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  <w:r w:rsidRPr="00D264B6">
        <w:rPr>
          <w:b w:val="0"/>
          <w:bCs/>
          <w:i w:val="0"/>
          <w:sz w:val="21"/>
          <w:szCs w:val="21"/>
          <w:lang w:val="pt-BR"/>
        </w:rPr>
        <w:t>SOUZA</w:t>
      </w:r>
      <w:r w:rsidRPr="00D264B6">
        <w:rPr>
          <w:b w:val="0"/>
          <w:i w:val="0"/>
          <w:sz w:val="21"/>
          <w:szCs w:val="21"/>
          <w:lang w:val="pt-BR"/>
        </w:rPr>
        <w:t>. </w:t>
      </w:r>
      <w:r w:rsidRPr="00D264B6">
        <w:rPr>
          <w:b w:val="0"/>
          <w:bCs/>
          <w:i w:val="0"/>
          <w:sz w:val="21"/>
          <w:szCs w:val="21"/>
          <w:lang w:val="pt-BR"/>
        </w:rPr>
        <w:t xml:space="preserve">José Carlos </w:t>
      </w:r>
      <w:proofErr w:type="spellStart"/>
      <w:r w:rsidRPr="00D264B6">
        <w:rPr>
          <w:b w:val="0"/>
          <w:bCs/>
          <w:i w:val="0"/>
          <w:sz w:val="21"/>
          <w:szCs w:val="21"/>
          <w:lang w:val="pt-BR"/>
        </w:rPr>
        <w:t>Aronchi</w:t>
      </w:r>
      <w:proofErr w:type="spellEnd"/>
      <w:r w:rsidRPr="00D264B6">
        <w:rPr>
          <w:b w:val="0"/>
          <w:i w:val="0"/>
          <w:sz w:val="21"/>
          <w:szCs w:val="21"/>
          <w:lang w:val="pt-BR"/>
        </w:rPr>
        <w:t> de. </w:t>
      </w:r>
      <w:r w:rsidRPr="00D264B6">
        <w:rPr>
          <w:i w:val="0"/>
          <w:sz w:val="21"/>
          <w:szCs w:val="21"/>
          <w:lang w:val="pt-BR"/>
        </w:rPr>
        <w:t>Gêneros e formatos na televisão brasileira</w:t>
      </w:r>
      <w:r w:rsidRPr="00D264B6">
        <w:rPr>
          <w:b w:val="0"/>
          <w:i w:val="0"/>
          <w:sz w:val="21"/>
          <w:szCs w:val="21"/>
          <w:lang w:val="pt-BR"/>
        </w:rPr>
        <w:t xml:space="preserve">. São Paulo: </w:t>
      </w:r>
      <w:proofErr w:type="spellStart"/>
      <w:r w:rsidRPr="00D264B6">
        <w:rPr>
          <w:b w:val="0"/>
          <w:i w:val="0"/>
          <w:sz w:val="21"/>
          <w:szCs w:val="21"/>
          <w:lang w:val="pt-BR"/>
        </w:rPr>
        <w:t>Summus</w:t>
      </w:r>
      <w:proofErr w:type="spellEnd"/>
      <w:r w:rsidRPr="00D264B6">
        <w:rPr>
          <w:b w:val="0"/>
          <w:i w:val="0"/>
          <w:sz w:val="21"/>
          <w:szCs w:val="21"/>
          <w:lang w:val="pt-BR"/>
        </w:rPr>
        <w:t>, </w:t>
      </w:r>
      <w:r w:rsidRPr="00D264B6">
        <w:rPr>
          <w:b w:val="0"/>
          <w:bCs/>
          <w:i w:val="0"/>
          <w:sz w:val="21"/>
          <w:szCs w:val="21"/>
          <w:lang w:val="pt-BR"/>
        </w:rPr>
        <w:t>2004</w:t>
      </w:r>
      <w:r w:rsidRPr="00D264B6">
        <w:rPr>
          <w:b w:val="0"/>
          <w:i w:val="0"/>
          <w:sz w:val="21"/>
          <w:szCs w:val="21"/>
          <w:lang w:val="pt-BR"/>
        </w:rPr>
        <w:t>,</w:t>
      </w:r>
    </w:p>
    <w:p w14:paraId="09A36A82" w14:textId="77777777" w:rsidR="00006F73" w:rsidRPr="00D264B6" w:rsidRDefault="00006F73" w:rsidP="00006F73">
      <w:pPr>
        <w:pStyle w:val="Subttulo"/>
        <w:jc w:val="left"/>
        <w:rPr>
          <w:b w:val="0"/>
          <w:i w:val="0"/>
          <w:sz w:val="21"/>
          <w:szCs w:val="21"/>
          <w:lang w:val="pt-BR"/>
        </w:rPr>
      </w:pPr>
    </w:p>
    <w:p w14:paraId="034A8670" w14:textId="42AD33A7" w:rsidR="0082361C" w:rsidRPr="00D264B6" w:rsidRDefault="00006F73" w:rsidP="00006F73">
      <w:pPr>
        <w:pStyle w:val="Subttulo"/>
        <w:jc w:val="left"/>
        <w:rPr>
          <w:sz w:val="21"/>
          <w:szCs w:val="21"/>
          <w:lang w:val="pt-BR"/>
        </w:rPr>
      </w:pPr>
      <w:r w:rsidRPr="00D264B6">
        <w:rPr>
          <w:b w:val="0"/>
          <w:i w:val="0"/>
          <w:sz w:val="21"/>
          <w:szCs w:val="21"/>
          <w:lang w:val="pt-BR"/>
        </w:rPr>
        <w:t xml:space="preserve">WOODWARD, Kathryn. Identidade e diferença: uma introdução teórica e conceitual. In: SILVA, Tomaz Tadeu da (org.). </w:t>
      </w:r>
      <w:r w:rsidRPr="00D264B6">
        <w:rPr>
          <w:bCs/>
          <w:i w:val="0"/>
          <w:sz w:val="21"/>
          <w:szCs w:val="21"/>
          <w:lang w:val="pt-BR"/>
        </w:rPr>
        <w:t>Identidade e diferença:</w:t>
      </w:r>
      <w:r w:rsidRPr="00D264B6">
        <w:rPr>
          <w:b w:val="0"/>
          <w:i w:val="0"/>
          <w:sz w:val="21"/>
          <w:szCs w:val="21"/>
          <w:lang w:val="pt-BR"/>
        </w:rPr>
        <w:t xml:space="preserve"> a perspectiva dos Estudos Culturais. Rio de Janeiro: Vozes, 2000.</w:t>
      </w:r>
    </w:p>
    <w:sectPr w:rsidR="0082361C" w:rsidRPr="00D264B6">
      <w:headerReference w:type="default" r:id="rId8"/>
      <w:footerReference w:type="default" r:id="rId9"/>
      <w:pgSz w:w="11900" w:h="16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FE0A" w14:textId="77777777" w:rsidR="00DD467A" w:rsidRDefault="00DD467A">
      <w:r>
        <w:separator/>
      </w:r>
    </w:p>
  </w:endnote>
  <w:endnote w:type="continuationSeparator" w:id="0">
    <w:p w14:paraId="768FF3D6" w14:textId="77777777" w:rsidR="00DD467A" w:rsidRDefault="00DD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8BEB" w14:textId="77777777" w:rsidR="0082361C" w:rsidRDefault="009F07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478"/>
      </w:tabs>
      <w:jc w:val="right"/>
      <w:rPr>
        <w:color w:val="000000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64DA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07A4" w14:textId="77777777" w:rsidR="00DD467A" w:rsidRDefault="00DD467A">
      <w:r>
        <w:separator/>
      </w:r>
    </w:p>
  </w:footnote>
  <w:footnote w:type="continuationSeparator" w:id="0">
    <w:p w14:paraId="488C80AE" w14:textId="77777777" w:rsidR="00DD467A" w:rsidRDefault="00DD467A">
      <w:r>
        <w:continuationSeparator/>
      </w:r>
    </w:p>
  </w:footnote>
  <w:footnote w:id="1">
    <w:p w14:paraId="2CDE0B1C" w14:textId="0D5C2AE9" w:rsidR="0082361C" w:rsidRPr="00364DA9" w:rsidRDefault="009F07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pt-BR"/>
        </w:rPr>
      </w:pPr>
      <w:r>
        <w:rPr>
          <w:vertAlign w:val="superscript"/>
        </w:rPr>
        <w:footnoteRef/>
      </w:r>
      <w:r w:rsidRPr="00364DA9">
        <w:rPr>
          <w:color w:val="000000"/>
          <w:sz w:val="18"/>
          <w:szCs w:val="18"/>
          <w:lang w:val="pt-BR"/>
        </w:rPr>
        <w:t xml:space="preserve"> </w:t>
      </w:r>
      <w:r w:rsidRPr="00364DA9">
        <w:rPr>
          <w:sz w:val="18"/>
          <w:szCs w:val="18"/>
          <w:lang w:val="pt-BR"/>
        </w:rPr>
        <w:t xml:space="preserve">Trabalho apresentado </w:t>
      </w:r>
      <w:r w:rsidR="00963223">
        <w:rPr>
          <w:sz w:val="18"/>
          <w:szCs w:val="18"/>
          <w:lang w:val="pt-BR"/>
        </w:rPr>
        <w:t>n</w:t>
      </w:r>
      <w:r w:rsidRPr="00364DA9">
        <w:rPr>
          <w:sz w:val="18"/>
          <w:szCs w:val="18"/>
          <w:lang w:val="pt-BR"/>
        </w:rPr>
        <w:t>o</w:t>
      </w:r>
      <w:r w:rsidR="00F363E9">
        <w:rPr>
          <w:sz w:val="18"/>
          <w:szCs w:val="18"/>
          <w:lang w:val="pt-BR"/>
        </w:rPr>
        <w:t xml:space="preserve"> </w:t>
      </w:r>
      <w:r w:rsidR="00F363E9" w:rsidRPr="00F363E9">
        <w:rPr>
          <w:sz w:val="18"/>
          <w:szCs w:val="18"/>
          <w:lang w:val="pt-BR"/>
        </w:rPr>
        <w:t>IV Simpósio de Pesquisa do Ecossistema Ânima</w:t>
      </w:r>
      <w:r w:rsidRPr="00364DA9">
        <w:rPr>
          <w:sz w:val="18"/>
          <w:szCs w:val="18"/>
          <w:lang w:val="pt-BR"/>
        </w:rPr>
        <w:t>.</w:t>
      </w:r>
    </w:p>
  </w:footnote>
  <w:footnote w:id="2">
    <w:p w14:paraId="5D5CF25C" w14:textId="6864F468" w:rsidR="0082361C" w:rsidRPr="00535D86" w:rsidRDefault="009F07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pt-BR"/>
        </w:rPr>
      </w:pPr>
      <w:r>
        <w:rPr>
          <w:vertAlign w:val="superscript"/>
        </w:rPr>
        <w:footnoteRef/>
      </w:r>
      <w:r w:rsidRPr="00364DA9">
        <w:rPr>
          <w:color w:val="000000"/>
          <w:sz w:val="18"/>
          <w:szCs w:val="18"/>
          <w:lang w:val="pt-BR"/>
        </w:rPr>
        <w:t xml:space="preserve"> </w:t>
      </w:r>
      <w:r w:rsidR="00EA2EBE">
        <w:rPr>
          <w:color w:val="000000"/>
          <w:sz w:val="18"/>
          <w:szCs w:val="18"/>
          <w:lang w:val="pt-BR"/>
        </w:rPr>
        <w:t>Estudante de Graduação em Jornalism</w:t>
      </w:r>
      <w:r w:rsidR="00EA2EBE" w:rsidRPr="00535D86">
        <w:rPr>
          <w:color w:val="000000"/>
          <w:sz w:val="18"/>
          <w:szCs w:val="18"/>
          <w:lang w:val="pt-BR"/>
        </w:rPr>
        <w:t>o do XX semestre da Universidade Anhembi Morumbi. Bolsista PIBIC/CNPq</w:t>
      </w:r>
      <w:r w:rsidR="00535D86" w:rsidRPr="00535D86">
        <w:rPr>
          <w:color w:val="000000"/>
          <w:sz w:val="18"/>
          <w:szCs w:val="18"/>
          <w:lang w:val="pt-BR"/>
        </w:rPr>
        <w:t xml:space="preserve"> de Iniciação Científica na Universidade Anhembi Morumbi. E-mail: </w:t>
      </w:r>
      <w:hyperlink r:id="rId1" w:history="1">
        <w:r w:rsidR="00535D86" w:rsidRPr="00535D86">
          <w:rPr>
            <w:rStyle w:val="Hyperlink"/>
            <w:sz w:val="18"/>
            <w:szCs w:val="18"/>
            <w:lang w:val="pt-BR"/>
          </w:rPr>
          <w:t>sofiabartolomeutavares@gmail.com</w:t>
        </w:r>
      </w:hyperlink>
      <w:r w:rsidR="00535D86" w:rsidRPr="00535D86">
        <w:rPr>
          <w:color w:val="000000"/>
          <w:sz w:val="18"/>
          <w:szCs w:val="18"/>
          <w:lang w:val="pt-BR"/>
        </w:rPr>
        <w:t xml:space="preserve"> </w:t>
      </w:r>
    </w:p>
  </w:footnote>
  <w:footnote w:id="3">
    <w:p w14:paraId="51CA8E4F" w14:textId="15CF9D9D" w:rsidR="0082361C" w:rsidRPr="00535D86" w:rsidRDefault="009F07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pt-BR"/>
        </w:rPr>
      </w:pPr>
      <w:r w:rsidRPr="00535D86">
        <w:rPr>
          <w:vertAlign w:val="superscript"/>
        </w:rPr>
        <w:footnoteRef/>
      </w:r>
      <w:r w:rsidRPr="00535D86">
        <w:rPr>
          <w:color w:val="000000"/>
          <w:sz w:val="18"/>
          <w:szCs w:val="18"/>
          <w:lang w:val="pt-BR"/>
        </w:rPr>
        <w:t xml:space="preserve"> </w:t>
      </w:r>
      <w:r w:rsidR="00EA2EBE" w:rsidRPr="00535D86">
        <w:rPr>
          <w:color w:val="000000"/>
          <w:sz w:val="18"/>
          <w:szCs w:val="18"/>
          <w:lang w:val="pt-BR"/>
        </w:rPr>
        <w:t>Estudante de Graduação em Jornalismo do XX semestre da Universidade Anhembi Morumbi</w:t>
      </w:r>
      <w:r w:rsidR="00535D86" w:rsidRPr="00535D86">
        <w:rPr>
          <w:color w:val="000000"/>
          <w:sz w:val="18"/>
          <w:szCs w:val="18"/>
          <w:lang w:val="pt-BR"/>
        </w:rPr>
        <w:t>. Estudante de Iniciação Científica na Universidade Anhembi Morumbi</w:t>
      </w:r>
      <w:r w:rsidR="00EA2EBE" w:rsidRPr="00535D86">
        <w:rPr>
          <w:color w:val="000000"/>
          <w:sz w:val="18"/>
          <w:szCs w:val="18"/>
          <w:lang w:val="pt-BR"/>
        </w:rPr>
        <w:t xml:space="preserve">. E-mail: </w:t>
      </w:r>
      <w:hyperlink r:id="rId2" w:history="1">
        <w:r w:rsidR="00535D86" w:rsidRPr="00535D86">
          <w:rPr>
            <w:rStyle w:val="Hyperlink"/>
            <w:sz w:val="18"/>
            <w:szCs w:val="18"/>
            <w:lang w:val="pt-BR"/>
          </w:rPr>
          <w:t>juhfcmeniquetti@gmail.com</w:t>
        </w:r>
      </w:hyperlink>
      <w:r w:rsidR="00535D86">
        <w:rPr>
          <w:color w:val="000000"/>
          <w:sz w:val="18"/>
          <w:szCs w:val="18"/>
          <w:lang w:val="pt-BR"/>
        </w:rPr>
        <w:t xml:space="preserve"> </w:t>
      </w:r>
    </w:p>
  </w:footnote>
  <w:footnote w:id="4">
    <w:p w14:paraId="79967BD7" w14:textId="7E98F7B2" w:rsidR="00EA2EBE" w:rsidRPr="00364DA9" w:rsidRDefault="00EA2EBE" w:rsidP="00EA2E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lang w:val="pt-BR"/>
        </w:rPr>
      </w:pPr>
      <w:r>
        <w:rPr>
          <w:vertAlign w:val="superscript"/>
        </w:rPr>
        <w:footnoteRef/>
      </w:r>
      <w:r w:rsidRPr="00364DA9">
        <w:rPr>
          <w:color w:val="000000"/>
          <w:sz w:val="18"/>
          <w:szCs w:val="18"/>
          <w:lang w:val="pt-BR"/>
        </w:rPr>
        <w:t xml:space="preserve"> </w:t>
      </w:r>
      <w:r w:rsidRPr="00C02D61">
        <w:rPr>
          <w:color w:val="000000"/>
          <w:sz w:val="18"/>
          <w:szCs w:val="18"/>
          <w:lang w:val="pt-BR"/>
        </w:rPr>
        <w:t xml:space="preserve">Docente permanente do Programa de Pós-Graduação em Comunicação da Universidade Anhembi Morumbi (PPGCOM-UAM). Doutor em Ciências da Comunicação pelo PPGCOM-USP, com pesquisa pós-doutoral pelo PPGCOM-UAM. Líder do Grupo de Pesquisa </w:t>
      </w:r>
      <w:proofErr w:type="spellStart"/>
      <w:r w:rsidRPr="00C02D61">
        <w:rPr>
          <w:color w:val="000000"/>
          <w:sz w:val="18"/>
          <w:szCs w:val="18"/>
          <w:lang w:val="pt-BR"/>
        </w:rPr>
        <w:t>AlterMídia</w:t>
      </w:r>
      <w:proofErr w:type="spellEnd"/>
      <w:r w:rsidRPr="00C02D61">
        <w:rPr>
          <w:color w:val="000000"/>
          <w:sz w:val="18"/>
          <w:szCs w:val="18"/>
          <w:lang w:val="pt-BR"/>
        </w:rPr>
        <w:t xml:space="preserve"> – Laboratório de Estudos em Cultura Audiovisual, Alteridade e Mídias (UAM-CNPq</w:t>
      </w:r>
      <w:r>
        <w:rPr>
          <w:color w:val="000000"/>
          <w:sz w:val="18"/>
          <w:szCs w:val="18"/>
          <w:lang w:val="pt-BR"/>
        </w:rPr>
        <w:t xml:space="preserve">). Orientador </w:t>
      </w:r>
      <w:r w:rsidR="00535D86">
        <w:rPr>
          <w:color w:val="000000"/>
          <w:sz w:val="18"/>
          <w:szCs w:val="18"/>
          <w:lang w:val="pt-BR"/>
        </w:rPr>
        <w:t>da pesquisa</w:t>
      </w:r>
      <w:r>
        <w:rPr>
          <w:color w:val="000000"/>
          <w:sz w:val="18"/>
          <w:szCs w:val="18"/>
          <w:lang w:val="pt-BR"/>
        </w:rPr>
        <w:t>.</w:t>
      </w:r>
      <w:r w:rsidRPr="00C02D61">
        <w:rPr>
          <w:color w:val="000000"/>
          <w:sz w:val="18"/>
          <w:szCs w:val="18"/>
          <w:lang w:val="pt-BR"/>
        </w:rPr>
        <w:t xml:space="preserve"> E-mail: </w:t>
      </w:r>
      <w:hyperlink r:id="rId3">
        <w:r w:rsidRPr="00C02D61">
          <w:rPr>
            <w:sz w:val="18"/>
            <w:szCs w:val="18"/>
            <w:u w:val="single"/>
            <w:lang w:val="pt-BR"/>
          </w:rPr>
          <w:t>gutomlobato@gmail.com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5F53" w14:textId="77777777" w:rsidR="00404623" w:rsidRPr="00364DA9" w:rsidRDefault="0040462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B34C5"/>
    <w:multiLevelType w:val="multilevel"/>
    <w:tmpl w:val="46CEAB84"/>
    <w:lvl w:ilvl="0">
      <w:start w:val="1"/>
      <w:numFmt w:val="decimal"/>
      <w:lvlText w:val="%1)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82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2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61E26E12"/>
    <w:multiLevelType w:val="hybridMultilevel"/>
    <w:tmpl w:val="E94C86D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37690">
    <w:abstractNumId w:val="0"/>
  </w:num>
  <w:num w:numId="2" w16cid:durableId="104198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1C"/>
    <w:rsid w:val="00006F73"/>
    <w:rsid w:val="00082EAE"/>
    <w:rsid w:val="000A3E64"/>
    <w:rsid w:val="00123E59"/>
    <w:rsid w:val="001C56B2"/>
    <w:rsid w:val="001C5E3B"/>
    <w:rsid w:val="002F61FE"/>
    <w:rsid w:val="00313E4C"/>
    <w:rsid w:val="00364DA9"/>
    <w:rsid w:val="00386772"/>
    <w:rsid w:val="00400E3D"/>
    <w:rsid w:val="00404623"/>
    <w:rsid w:val="00441F04"/>
    <w:rsid w:val="00444467"/>
    <w:rsid w:val="004A5E90"/>
    <w:rsid w:val="00503EFB"/>
    <w:rsid w:val="00523AF6"/>
    <w:rsid w:val="00535D86"/>
    <w:rsid w:val="005F5FDF"/>
    <w:rsid w:val="006D05F2"/>
    <w:rsid w:val="006D407D"/>
    <w:rsid w:val="0074102E"/>
    <w:rsid w:val="00767801"/>
    <w:rsid w:val="007A113F"/>
    <w:rsid w:val="007C6CB2"/>
    <w:rsid w:val="008041E7"/>
    <w:rsid w:val="0082361C"/>
    <w:rsid w:val="00893DBB"/>
    <w:rsid w:val="008F210D"/>
    <w:rsid w:val="00963223"/>
    <w:rsid w:val="009B43BA"/>
    <w:rsid w:val="009F0752"/>
    <w:rsid w:val="00A0077A"/>
    <w:rsid w:val="00A92B70"/>
    <w:rsid w:val="00AE4846"/>
    <w:rsid w:val="00B32870"/>
    <w:rsid w:val="00B360FE"/>
    <w:rsid w:val="00B74D92"/>
    <w:rsid w:val="00BA735B"/>
    <w:rsid w:val="00BB499D"/>
    <w:rsid w:val="00BF2CC6"/>
    <w:rsid w:val="00C10D76"/>
    <w:rsid w:val="00CA129F"/>
    <w:rsid w:val="00CD0DD7"/>
    <w:rsid w:val="00D264B6"/>
    <w:rsid w:val="00DD467A"/>
    <w:rsid w:val="00E275CB"/>
    <w:rsid w:val="00E47A58"/>
    <w:rsid w:val="00EA2EBE"/>
    <w:rsid w:val="00F20E5E"/>
    <w:rsid w:val="00F265A4"/>
    <w:rsid w:val="00F3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3B8BF"/>
  <w15:docId w15:val="{0F5EF4E9-509A-48A9-A440-11800ED4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</w:pPr>
    <w:rPr>
      <w:rFonts w:eastAsia="Arial Unicode MS" w:cs="Arial Unicode MS"/>
      <w:color w:val="000000"/>
      <w:u w:color="000000"/>
    </w:rPr>
  </w:style>
  <w:style w:type="character" w:styleId="Nmerodepgina">
    <w:name w:val="page number"/>
    <w:rPr>
      <w:lang w:val="pt-PT"/>
    </w:rPr>
  </w:style>
  <w:style w:type="paragraph" w:styleId="Rodap">
    <w:name w:val="footer"/>
    <w:pPr>
      <w:tabs>
        <w:tab w:val="center" w:pos="4419"/>
        <w:tab w:val="right" w:pos="8838"/>
      </w:tabs>
    </w:pPr>
    <w:rPr>
      <w:color w:val="000000"/>
      <w:u w:color="000000"/>
    </w:rPr>
  </w:style>
  <w:style w:type="paragraph" w:styleId="Subttulo">
    <w:name w:val="Subtitle"/>
    <w:basedOn w:val="Normal"/>
    <w:uiPriority w:val="11"/>
    <w:qFormat/>
    <w:pPr>
      <w:pBdr>
        <w:top w:val="nil"/>
        <w:left w:val="nil"/>
        <w:bottom w:val="nil"/>
        <w:right w:val="nil"/>
        <w:between w:val="nil"/>
      </w:pBdr>
      <w:jc w:val="center"/>
    </w:pPr>
    <w:rPr>
      <w:b/>
      <w:i/>
      <w:color w:val="000000"/>
      <w:sz w:val="32"/>
      <w:szCs w:val="32"/>
    </w:rPr>
  </w:style>
  <w:style w:type="paragraph" w:customStyle="1" w:styleId="Corpo">
    <w:name w:val="Corpo"/>
    <w:rPr>
      <w:rFonts w:eastAsia="Arial Unicode MS" w:cs="Arial Unicode MS"/>
      <w:color w:val="000000"/>
      <w:u w:color="000000"/>
    </w:rPr>
  </w:style>
  <w:style w:type="paragraph" w:customStyle="1" w:styleId="CorpoA">
    <w:name w:val="Corpo A"/>
    <w:rPr>
      <w:rFonts w:eastAsia="Arial Unicode MS" w:cs="Arial Unicode MS"/>
      <w:color w:val="000000"/>
      <w:u w:color="000000"/>
    </w:rPr>
  </w:style>
  <w:style w:type="paragraph" w:customStyle="1" w:styleId="CorpoB">
    <w:name w:val="Corpo B"/>
    <w:rPr>
      <w:rFonts w:eastAsia="Arial Unicode MS" w:cs="Arial Unicode MS"/>
      <w:color w:val="000000"/>
      <w:u w:color="000000"/>
    </w:rPr>
  </w:style>
  <w:style w:type="paragraph" w:styleId="Corpodetexto">
    <w:name w:val="Body Text"/>
    <w:pPr>
      <w:jc w:val="both"/>
    </w:pPr>
    <w:rPr>
      <w:color w:val="000000"/>
      <w:u w:color="000000"/>
    </w:rPr>
  </w:style>
  <w:style w:type="numbering" w:customStyle="1" w:styleId="EstiloImportado1">
    <w:name w:val="Estilo Importado 1"/>
  </w:style>
  <w:style w:type="paragraph" w:styleId="Textodenotaderodap">
    <w:name w:val="footnote text"/>
    <w:rPr>
      <w:color w:val="000000"/>
      <w:sz w:val="20"/>
      <w:szCs w:val="20"/>
      <w:u w:color="000000"/>
    </w:rPr>
  </w:style>
  <w:style w:type="paragraph" w:styleId="Corpodetexto2">
    <w:name w:val="Body Text 2"/>
    <w:pPr>
      <w:jc w:val="both"/>
    </w:pPr>
    <w:rPr>
      <w:color w:val="000000"/>
      <w:sz w:val="20"/>
      <w:szCs w:val="20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18"/>
      <w:szCs w:val="18"/>
      <w:u w:val="single" w:color="0000FF"/>
    </w:rPr>
  </w:style>
  <w:style w:type="paragraph" w:styleId="NormalWeb">
    <w:name w:val="Normal (Web)"/>
    <w:uiPriority w:val="99"/>
    <w:pPr>
      <w:spacing w:before="100" w:after="100"/>
    </w:pPr>
    <w:rPr>
      <w:rFonts w:eastAsia="Arial Unicode MS" w:cs="Arial Unicode MS"/>
      <w:color w:val="000000"/>
      <w:u w:color="000000"/>
    </w:rPr>
  </w:style>
  <w:style w:type="paragraph" w:styleId="PargrafodaLista">
    <w:name w:val="List Paragraph"/>
    <w:basedOn w:val="Normal"/>
    <w:uiPriority w:val="34"/>
    <w:qFormat/>
    <w:rsid w:val="00EA2EB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67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gutomlobato@gmail.com" TargetMode="External"/><Relationship Id="rId2" Type="http://schemas.openxmlformats.org/officeDocument/2006/relationships/hyperlink" Target="mailto:juhfcmeniquetti@gmail.com" TargetMode="External"/><Relationship Id="rId1" Type="http://schemas.openxmlformats.org/officeDocument/2006/relationships/hyperlink" Target="mailto:sofiabartolomeutavares@gmail.com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jeGXUqXCg6WVOtSNVGZf0lMhA==">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3845</Words>
  <Characters>20764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Intercom Sociedade</dc:creator>
  <cp:lastModifiedBy>User</cp:lastModifiedBy>
  <cp:revision>5</cp:revision>
  <dcterms:created xsi:type="dcterms:W3CDTF">2025-03-31T21:11:00Z</dcterms:created>
  <dcterms:modified xsi:type="dcterms:W3CDTF">2025-11-14T18:58:00Z</dcterms:modified>
</cp:coreProperties>
</file>