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C8A44" w14:textId="6037C74F" w:rsidR="006B3449" w:rsidRPr="006B3449" w:rsidRDefault="00A27B33" w:rsidP="006B3449">
      <w:pPr>
        <w:pStyle w:val="plpar"/>
        <w:jc w:val="both"/>
        <w:rPr>
          <w:rFonts w:ascii="Arial" w:hAnsi="Arial" w:cs="Arial"/>
          <w:b/>
          <w:bCs/>
          <w:sz w:val="22"/>
          <w:szCs w:val="22"/>
        </w:rPr>
      </w:pPr>
      <w:r>
        <w:rPr>
          <w:rFonts w:ascii="Arial" w:hAnsi="Arial" w:cs="Arial"/>
          <w:b/>
          <w:bCs/>
          <w:sz w:val="22"/>
          <w:szCs w:val="22"/>
        </w:rPr>
        <w:t>T</w:t>
      </w:r>
      <w:r w:rsidR="006B3449" w:rsidRPr="006B3449">
        <w:rPr>
          <w:rFonts w:ascii="Arial" w:hAnsi="Arial" w:cs="Arial"/>
          <w:b/>
          <w:bCs/>
          <w:sz w:val="22"/>
          <w:szCs w:val="22"/>
        </w:rPr>
        <w:t xml:space="preserve">ítulo: </w:t>
      </w:r>
      <w:r w:rsidR="00BD483A" w:rsidRPr="00BD483A">
        <w:rPr>
          <w:rFonts w:ascii="Arial" w:hAnsi="Arial" w:cs="Arial"/>
          <w:sz w:val="22"/>
          <w:szCs w:val="22"/>
        </w:rPr>
        <w:t>RASTREAMENTO DE TRANSTORNOS ALIMENTARES EM PACIENTES ATENDIDOS EM UM CENTRO DE ATENDIMENTO PSICOSSOCIAL DO SUL DE SANTA CATARINA</w:t>
      </w:r>
    </w:p>
    <w:p w14:paraId="638A3014" w14:textId="56A209CD" w:rsidR="006B3449" w:rsidRPr="006B3449" w:rsidRDefault="006B3449" w:rsidP="006B3449">
      <w:pPr>
        <w:pStyle w:val="plpar"/>
        <w:jc w:val="both"/>
        <w:rPr>
          <w:rFonts w:ascii="Arial" w:hAnsi="Arial" w:cs="Arial"/>
          <w:b/>
          <w:bCs/>
          <w:sz w:val="22"/>
          <w:szCs w:val="22"/>
        </w:rPr>
      </w:pPr>
      <w:r w:rsidRPr="006B3449">
        <w:rPr>
          <w:rFonts w:ascii="Arial" w:hAnsi="Arial" w:cs="Arial"/>
          <w:b/>
          <w:bCs/>
          <w:sz w:val="22"/>
          <w:szCs w:val="22"/>
        </w:rPr>
        <w:t xml:space="preserve">Nome do proponente: </w:t>
      </w:r>
      <w:r w:rsidRPr="006B3449">
        <w:rPr>
          <w:rFonts w:ascii="Arial" w:hAnsi="Arial" w:cs="Arial"/>
          <w:sz w:val="22"/>
          <w:szCs w:val="22"/>
        </w:rPr>
        <w:t>Kelser de Souza Kock</w:t>
      </w:r>
    </w:p>
    <w:p w14:paraId="671AA527" w14:textId="7D29964B" w:rsidR="00A27B33" w:rsidRDefault="006B3449" w:rsidP="00E05521">
      <w:pPr>
        <w:pStyle w:val="plpar"/>
        <w:jc w:val="both"/>
        <w:rPr>
          <w:rFonts w:ascii="Arial" w:hAnsi="Arial" w:cs="Arial"/>
          <w:sz w:val="22"/>
          <w:szCs w:val="22"/>
        </w:rPr>
      </w:pPr>
      <w:r w:rsidRPr="006B3449">
        <w:rPr>
          <w:rFonts w:ascii="Arial" w:hAnsi="Arial" w:cs="Arial"/>
          <w:b/>
          <w:bCs/>
          <w:sz w:val="22"/>
          <w:szCs w:val="22"/>
        </w:rPr>
        <w:t xml:space="preserve">Voluntários: </w:t>
      </w:r>
      <w:r w:rsidR="00BD483A" w:rsidRPr="00BD483A">
        <w:rPr>
          <w:rFonts w:ascii="Arial" w:hAnsi="Arial" w:cs="Arial"/>
          <w:sz w:val="22"/>
          <w:szCs w:val="22"/>
        </w:rPr>
        <w:t>Camila Bonatti de Pinho, Mariana Ronchi, Marina Brasiliense, Laryssa Giusti Pereira, Ahissa Nathália Da Ré, Maria Júlia Ramos Claudino, Nicole Cris Heringer, Manuela Mello</w:t>
      </w:r>
    </w:p>
    <w:p w14:paraId="21BA7782" w14:textId="77777777" w:rsidR="00A27B33" w:rsidRDefault="00A27B33" w:rsidP="00E05521">
      <w:pPr>
        <w:pStyle w:val="plpar"/>
        <w:jc w:val="both"/>
        <w:rPr>
          <w:rFonts w:ascii="Arial" w:hAnsi="Arial" w:cs="Arial"/>
          <w:sz w:val="22"/>
          <w:szCs w:val="22"/>
        </w:rPr>
      </w:pPr>
    </w:p>
    <w:p w14:paraId="73988308" w14:textId="77777777" w:rsidR="00A27B33" w:rsidRPr="006B3449" w:rsidRDefault="00A27B33" w:rsidP="00E05521">
      <w:pPr>
        <w:pStyle w:val="plpar"/>
        <w:jc w:val="both"/>
        <w:rPr>
          <w:rFonts w:ascii="Arial" w:hAnsi="Arial" w:cs="Arial"/>
          <w:bCs/>
          <w:sz w:val="22"/>
          <w:szCs w:val="22"/>
        </w:rPr>
      </w:pPr>
    </w:p>
    <w:p w14:paraId="1ED1EEEB" w14:textId="77777777" w:rsidR="007A1E23" w:rsidRPr="006552C5" w:rsidRDefault="007A1E23" w:rsidP="00CD4E2A">
      <w:pPr>
        <w:pStyle w:val="Legenda"/>
        <w:numPr>
          <w:ilvl w:val="0"/>
          <w:numId w:val="4"/>
        </w:numPr>
        <w:rPr>
          <w:rFonts w:ascii="Arial" w:hAnsi="Arial" w:cs="Arial"/>
          <w:sz w:val="22"/>
          <w:szCs w:val="22"/>
        </w:rPr>
      </w:pPr>
      <w:r w:rsidRPr="006552C5">
        <w:rPr>
          <w:rFonts w:ascii="Arial" w:hAnsi="Arial" w:cs="Arial"/>
          <w:sz w:val="22"/>
          <w:szCs w:val="22"/>
        </w:rPr>
        <w:t xml:space="preserve">Resumo </w:t>
      </w:r>
    </w:p>
    <w:p w14:paraId="66D86014" w14:textId="77777777" w:rsidR="002C5B97" w:rsidRDefault="002C5B97" w:rsidP="007A1E23">
      <w:pPr>
        <w:jc w:val="both"/>
        <w:rPr>
          <w:rFonts w:ascii="Arial" w:hAnsi="Arial" w:cs="Arial"/>
          <w:sz w:val="22"/>
          <w:szCs w:val="22"/>
        </w:rPr>
      </w:pPr>
    </w:p>
    <w:p w14:paraId="61088AE5" w14:textId="77777777" w:rsidR="007F1772" w:rsidRPr="007F1772" w:rsidRDefault="007F1772" w:rsidP="007F1772">
      <w:pPr>
        <w:jc w:val="both"/>
        <w:rPr>
          <w:rFonts w:ascii="Arial" w:hAnsi="Arial" w:cs="Arial"/>
          <w:sz w:val="22"/>
          <w:szCs w:val="22"/>
        </w:rPr>
      </w:pPr>
      <w:r w:rsidRPr="007F1772">
        <w:rPr>
          <w:rFonts w:ascii="Arial" w:hAnsi="Arial" w:cs="Arial"/>
          <w:sz w:val="22"/>
          <w:szCs w:val="22"/>
        </w:rPr>
        <w:t>Introdução: Pacientes com transtornos mentais frequentemente apresentam risco aumentado para alterações alimentares, tornando relevante sua investigação no contexto dos serviços de atenção psicossocial. O CAPS II atua de modo multidisciplinar, atendendo pacientes de maior vulnerabilidade social e clínica.</w:t>
      </w:r>
    </w:p>
    <w:p w14:paraId="1FC56250" w14:textId="77777777" w:rsidR="007F1772" w:rsidRPr="007F1772" w:rsidRDefault="007F1772" w:rsidP="007F1772">
      <w:pPr>
        <w:jc w:val="both"/>
        <w:rPr>
          <w:rFonts w:ascii="Arial" w:hAnsi="Arial" w:cs="Arial"/>
          <w:sz w:val="22"/>
          <w:szCs w:val="22"/>
        </w:rPr>
      </w:pPr>
      <w:r w:rsidRPr="007F1772">
        <w:rPr>
          <w:rFonts w:ascii="Arial" w:hAnsi="Arial" w:cs="Arial"/>
          <w:sz w:val="22"/>
          <w:szCs w:val="22"/>
        </w:rPr>
        <w:t>Objetivo: Analisar a prevalência de risco para transtornos alimentares em indivíduos com diagnóstico psiquiátrico atendidos no Centro de Atendimento Psicossocial II (CAPS II) de Tubarão/SC e verificar associações com variáveis antropométricas e sociodemográficas.</w:t>
      </w:r>
    </w:p>
    <w:p w14:paraId="725958D9" w14:textId="77777777" w:rsidR="007F1772" w:rsidRPr="007F1772" w:rsidRDefault="007F1772" w:rsidP="007F1772">
      <w:pPr>
        <w:jc w:val="both"/>
        <w:rPr>
          <w:rFonts w:ascii="Arial" w:hAnsi="Arial" w:cs="Arial"/>
          <w:sz w:val="22"/>
          <w:szCs w:val="22"/>
        </w:rPr>
      </w:pPr>
      <w:r w:rsidRPr="007F1772">
        <w:rPr>
          <w:rFonts w:ascii="Arial" w:hAnsi="Arial" w:cs="Arial"/>
          <w:sz w:val="22"/>
          <w:szCs w:val="22"/>
        </w:rPr>
        <w:t>Métodos: Estudo observacional transversal com 41 pacientes do CAPS II. Foram coletados dados sociodemográficos, clínicos e antropométricos (idade, sexo, escolaridade, estado civil, filhos, profissão, peso, estatura, IMC, circunferências abdominal, quadril e cervical). O risco alimentar foi avaliado por meio do Eating Attitudes Test (EAT-26).</w:t>
      </w:r>
    </w:p>
    <w:p w14:paraId="68B2691A" w14:textId="77777777" w:rsidR="007F1772" w:rsidRPr="007F1772" w:rsidRDefault="007F1772" w:rsidP="007F1772">
      <w:pPr>
        <w:jc w:val="both"/>
        <w:rPr>
          <w:rFonts w:ascii="Arial" w:hAnsi="Arial" w:cs="Arial"/>
          <w:sz w:val="22"/>
          <w:szCs w:val="22"/>
        </w:rPr>
      </w:pPr>
      <w:r w:rsidRPr="007F1772">
        <w:rPr>
          <w:rFonts w:ascii="Arial" w:hAnsi="Arial" w:cs="Arial"/>
          <w:sz w:val="22"/>
          <w:szCs w:val="22"/>
        </w:rPr>
        <w:t>Resultados: A amostra foi composta majoritariamente por mulheres (83%), com idade média de 44,5 anos (DP = 15,2). Observou-se elevada prevalência de sobrepeso/obesidade (IMC médio = 29,7 kg/m²; circunferência abdominal = 93,3 cm) e risco socioeconômico, sendo 31,7% dos participantes com renda inferior a 1 salário mínimo. Quanto ao EAT-26, 80,6% apresentaram pontuação de risco para transtornos alimentares. Não foi observada associação estatisticamente significativa entre pontuação do EAT-26 e os indicadores antropométricos avaliados (IMC, circunferências, idade; R² &lt; 0,05; p &gt; 0,05).</w:t>
      </w:r>
    </w:p>
    <w:p w14:paraId="1F76F66B" w14:textId="77777777" w:rsidR="007F1772" w:rsidRPr="007F1772" w:rsidRDefault="007F1772" w:rsidP="007F1772">
      <w:pPr>
        <w:jc w:val="both"/>
        <w:rPr>
          <w:rFonts w:ascii="Arial" w:hAnsi="Arial" w:cs="Arial"/>
          <w:sz w:val="22"/>
          <w:szCs w:val="22"/>
        </w:rPr>
      </w:pPr>
      <w:r w:rsidRPr="007F1772">
        <w:rPr>
          <w:rFonts w:ascii="Arial" w:hAnsi="Arial" w:cs="Arial"/>
          <w:sz w:val="22"/>
          <w:szCs w:val="22"/>
        </w:rPr>
        <w:t>Conclusão: Pacientes do CAPS II apresentam alta prevalência de risco alimentar e prevalência de sobrepeso, mas sem correlação significativa com medidas corporais. Os resultados reforçam a importância de avaliações multidisciplinares e integradas para o cuidado desses pacientes.</w:t>
      </w:r>
    </w:p>
    <w:p w14:paraId="69D76673" w14:textId="77777777" w:rsidR="002C5B97" w:rsidRDefault="002C5B97" w:rsidP="007A1E23">
      <w:pPr>
        <w:jc w:val="both"/>
        <w:rPr>
          <w:rFonts w:ascii="Arial" w:hAnsi="Arial" w:cs="Arial"/>
          <w:sz w:val="22"/>
          <w:szCs w:val="22"/>
        </w:rPr>
      </w:pPr>
    </w:p>
    <w:p w14:paraId="35D930BB" w14:textId="77777777" w:rsidR="002C5B97" w:rsidRDefault="002C5B97" w:rsidP="007A1E23">
      <w:pPr>
        <w:jc w:val="both"/>
        <w:rPr>
          <w:rFonts w:ascii="Arial" w:hAnsi="Arial" w:cs="Arial"/>
          <w:sz w:val="22"/>
          <w:szCs w:val="22"/>
        </w:rPr>
      </w:pPr>
    </w:p>
    <w:p w14:paraId="3A828379" w14:textId="53336659" w:rsidR="002C5B97" w:rsidRDefault="002C5B97" w:rsidP="007A1E23">
      <w:pPr>
        <w:jc w:val="both"/>
        <w:rPr>
          <w:rFonts w:ascii="Arial" w:hAnsi="Arial" w:cs="Arial"/>
          <w:sz w:val="22"/>
          <w:szCs w:val="22"/>
        </w:rPr>
      </w:pPr>
      <w:r w:rsidRPr="002C5B97">
        <w:rPr>
          <w:rFonts w:ascii="Arial" w:hAnsi="Arial" w:cs="Arial"/>
          <w:sz w:val="22"/>
          <w:szCs w:val="22"/>
        </w:rPr>
        <w:t>Palavras-Chave:</w:t>
      </w:r>
      <w:r>
        <w:rPr>
          <w:rFonts w:ascii="Arial" w:hAnsi="Arial" w:cs="Arial"/>
          <w:sz w:val="22"/>
          <w:szCs w:val="22"/>
        </w:rPr>
        <w:t xml:space="preserve"> </w:t>
      </w:r>
      <w:r w:rsidR="007F1772" w:rsidRPr="007F1772">
        <w:rPr>
          <w:rFonts w:ascii="Arial" w:hAnsi="Arial" w:cs="Arial"/>
          <w:sz w:val="22"/>
          <w:szCs w:val="22"/>
        </w:rPr>
        <w:t>Transtornos Mentais; Transtorno da Compulsão Alimentar; Anorexia Nervosa, Bulimia Nervosa.</w:t>
      </w:r>
    </w:p>
    <w:p w14:paraId="59F765CB" w14:textId="77777777" w:rsidR="007F1772" w:rsidRDefault="007F1772" w:rsidP="007A1E23">
      <w:pPr>
        <w:jc w:val="both"/>
        <w:rPr>
          <w:rFonts w:ascii="Arial" w:hAnsi="Arial" w:cs="Arial"/>
          <w:sz w:val="22"/>
          <w:szCs w:val="22"/>
        </w:rPr>
      </w:pPr>
    </w:p>
    <w:p w14:paraId="78DDE091" w14:textId="77777777" w:rsidR="002C5B97" w:rsidRPr="006552C5" w:rsidRDefault="002C5B97" w:rsidP="007A1E23">
      <w:pPr>
        <w:jc w:val="both"/>
        <w:rPr>
          <w:rFonts w:ascii="Arial" w:hAnsi="Arial" w:cs="Arial"/>
          <w:sz w:val="22"/>
          <w:szCs w:val="22"/>
        </w:rPr>
      </w:pPr>
    </w:p>
    <w:p w14:paraId="626CE608" w14:textId="77777777" w:rsidR="007A1E23" w:rsidRPr="006552C5" w:rsidRDefault="007A1E23" w:rsidP="00CD4E2A">
      <w:pPr>
        <w:pStyle w:val="Legenda"/>
        <w:numPr>
          <w:ilvl w:val="0"/>
          <w:numId w:val="4"/>
        </w:numPr>
        <w:rPr>
          <w:rFonts w:ascii="Arial" w:hAnsi="Arial" w:cs="Arial"/>
          <w:sz w:val="22"/>
          <w:szCs w:val="22"/>
        </w:rPr>
      </w:pPr>
      <w:r w:rsidRPr="006552C5">
        <w:rPr>
          <w:rFonts w:ascii="Arial" w:hAnsi="Arial" w:cs="Arial"/>
          <w:sz w:val="22"/>
          <w:szCs w:val="22"/>
        </w:rPr>
        <w:t xml:space="preserve">Introdução: </w:t>
      </w:r>
    </w:p>
    <w:p w14:paraId="17848507" w14:textId="77777777" w:rsidR="007A1E23" w:rsidRDefault="007A1E23" w:rsidP="007A1E23">
      <w:pPr>
        <w:jc w:val="both"/>
        <w:rPr>
          <w:rFonts w:ascii="Arial" w:hAnsi="Arial" w:cs="Arial"/>
          <w:sz w:val="22"/>
          <w:szCs w:val="22"/>
        </w:rPr>
      </w:pPr>
    </w:p>
    <w:p w14:paraId="51D858C6" w14:textId="77777777" w:rsidR="003761EB" w:rsidRDefault="003761EB" w:rsidP="007A1E23">
      <w:pPr>
        <w:jc w:val="both"/>
        <w:rPr>
          <w:rFonts w:ascii="Arial" w:hAnsi="Arial" w:cs="Arial"/>
          <w:sz w:val="22"/>
          <w:szCs w:val="22"/>
        </w:rPr>
      </w:pPr>
    </w:p>
    <w:p w14:paraId="1E595747" w14:textId="77777777" w:rsidR="00BD483A" w:rsidRPr="00BD483A" w:rsidRDefault="00BD483A" w:rsidP="00BD483A">
      <w:pPr>
        <w:jc w:val="both"/>
        <w:rPr>
          <w:rFonts w:ascii="Arial" w:hAnsi="Arial" w:cs="Arial"/>
          <w:sz w:val="22"/>
          <w:szCs w:val="22"/>
        </w:rPr>
      </w:pPr>
      <w:r w:rsidRPr="00BD483A">
        <w:rPr>
          <w:rFonts w:ascii="Arial" w:hAnsi="Arial" w:cs="Arial"/>
          <w:sz w:val="22"/>
          <w:szCs w:val="22"/>
        </w:rPr>
        <w:t xml:space="preserve">Os distúrbios da conduta alimentar (DCA), como a anorexia nervosa (AN) e a bulimia nervosa (BN), são síndromes psicossomáticas graves e de prognóstico ruim, caracterizadas pelo medo mórbido de engordar e pela redução ou distorção da ingestão alimentar (1). A AN envolve a redução drástica da alimentação, levando à caquexia e risco de morte, enquanto a BN compreende surtos de ingestão maciça seguidos de vômitos ou abuso de laxantes (2). Fatores de risco incluem baixa autoestima, insatisfação corporal e dietas restritivas (3). A ingestão alimentar pode ser usada como estratégia de controle emocional para fugir de emoções </w:t>
      </w:r>
      <w:r w:rsidRPr="00BD483A">
        <w:rPr>
          <w:rFonts w:ascii="Arial" w:hAnsi="Arial" w:cs="Arial"/>
          <w:sz w:val="22"/>
          <w:szCs w:val="22"/>
        </w:rPr>
        <w:lastRenderedPageBreak/>
        <w:t>aversivas (4). A população feminina jovem (12 a 28 anos) é a mais atingida, sendo uma questão prevalentemente feminina (7). Indivíduos com DCA apresentam risco aumentado de outros transtornos psiquiátricos (5).A coexistência de DCA com transtornos psiquiátricos e o impacto profundo na saúde somática (8) tornam a compreensão integral do indivíduo essencial. O aumento recente de distúrbios mentais, somado à pressão das redes sociais e ao culto à magreza, tem intensificado a busca por dietas extremas e o "comer emocional", onde a comida é usada para minimizar angústias e ansiedade. Este cenário de naturalização e romantização da magreza extrema aumenta o risco, especialmente para adolescentes que já sofrem de outros transtornos. Assim, a pesquisa se justifica ao questionar a prevalência dos DCA em pessoas com distúrbios mentais, buscando entender e intervir nesse grave contexto.</w:t>
      </w:r>
    </w:p>
    <w:p w14:paraId="20541F45" w14:textId="15DBC7A8" w:rsidR="00BD483A" w:rsidRPr="00BD483A" w:rsidRDefault="00BD483A" w:rsidP="00BD483A">
      <w:pPr>
        <w:jc w:val="both"/>
        <w:rPr>
          <w:rFonts w:ascii="Arial" w:hAnsi="Arial" w:cs="Arial"/>
          <w:sz w:val="22"/>
          <w:szCs w:val="22"/>
        </w:rPr>
      </w:pPr>
      <w:r w:rsidRPr="00BD483A">
        <w:rPr>
          <w:rFonts w:ascii="Arial" w:hAnsi="Arial" w:cs="Arial"/>
          <w:sz w:val="22"/>
          <w:szCs w:val="22"/>
        </w:rPr>
        <w:t xml:space="preserve">O </w:t>
      </w:r>
      <w:r>
        <w:rPr>
          <w:rFonts w:ascii="Arial" w:hAnsi="Arial" w:cs="Arial"/>
          <w:sz w:val="22"/>
          <w:szCs w:val="22"/>
        </w:rPr>
        <w:t>objetivo deste trabalho foi a</w:t>
      </w:r>
      <w:r w:rsidRPr="00BD483A">
        <w:rPr>
          <w:rFonts w:ascii="Arial" w:hAnsi="Arial" w:cs="Arial"/>
          <w:sz w:val="22"/>
          <w:szCs w:val="22"/>
        </w:rPr>
        <w:t>nalisar a prevalência de transtornos alimentares em indivíduos que possuem algum distúrbio mental atendidos no Centro de Atendimento Psicossocial II – CAPS II de Tubarão/SC</w:t>
      </w:r>
      <w:r>
        <w:rPr>
          <w:rFonts w:ascii="Arial" w:hAnsi="Arial" w:cs="Arial"/>
          <w:sz w:val="22"/>
          <w:szCs w:val="22"/>
        </w:rPr>
        <w:t>.</w:t>
      </w:r>
    </w:p>
    <w:p w14:paraId="74D3C771" w14:textId="77777777" w:rsidR="009F5413" w:rsidRPr="00E8519B" w:rsidRDefault="009F5413" w:rsidP="003761EB">
      <w:pPr>
        <w:jc w:val="both"/>
        <w:rPr>
          <w:rFonts w:ascii="Arial" w:hAnsi="Arial" w:cs="Arial"/>
          <w:sz w:val="22"/>
          <w:szCs w:val="22"/>
        </w:rPr>
      </w:pPr>
    </w:p>
    <w:p w14:paraId="6E82F0FA" w14:textId="7A507D6F" w:rsidR="003761EB" w:rsidRPr="00E8519B" w:rsidRDefault="003761EB" w:rsidP="003761EB">
      <w:pPr>
        <w:jc w:val="both"/>
        <w:rPr>
          <w:rFonts w:ascii="Arial" w:hAnsi="Arial" w:cs="Arial"/>
          <w:sz w:val="22"/>
          <w:szCs w:val="22"/>
        </w:rPr>
      </w:pPr>
    </w:p>
    <w:p w14:paraId="7F332B96" w14:textId="45D694A2" w:rsidR="00E8519B" w:rsidRPr="009F5413" w:rsidRDefault="00E8519B" w:rsidP="00E8519B">
      <w:pPr>
        <w:pStyle w:val="PargrafodaLista"/>
        <w:numPr>
          <w:ilvl w:val="0"/>
          <w:numId w:val="4"/>
        </w:numPr>
        <w:jc w:val="both"/>
        <w:rPr>
          <w:rFonts w:ascii="Arial" w:hAnsi="Arial" w:cs="Arial"/>
          <w:b/>
          <w:bCs/>
        </w:rPr>
      </w:pPr>
      <w:r w:rsidRPr="009F5413">
        <w:rPr>
          <w:rFonts w:ascii="Arial" w:hAnsi="Arial" w:cs="Arial"/>
          <w:b/>
          <w:bCs/>
        </w:rPr>
        <w:t>Métodos</w:t>
      </w:r>
    </w:p>
    <w:p w14:paraId="248749FA" w14:textId="77777777" w:rsidR="00E8519B" w:rsidRPr="00E8519B" w:rsidRDefault="00E8519B" w:rsidP="00E8519B">
      <w:pPr>
        <w:jc w:val="both"/>
        <w:rPr>
          <w:rFonts w:ascii="Arial" w:hAnsi="Arial" w:cs="Arial"/>
          <w:sz w:val="22"/>
          <w:szCs w:val="22"/>
        </w:rPr>
      </w:pPr>
    </w:p>
    <w:p w14:paraId="6D5E03B1" w14:textId="77777777" w:rsidR="00BD483A" w:rsidRPr="00BD483A" w:rsidRDefault="00BD483A" w:rsidP="00BD483A">
      <w:pPr>
        <w:jc w:val="both"/>
        <w:rPr>
          <w:rFonts w:ascii="Arial" w:hAnsi="Arial" w:cs="Arial"/>
          <w:sz w:val="22"/>
          <w:szCs w:val="22"/>
        </w:rPr>
      </w:pPr>
      <w:r w:rsidRPr="00BD483A">
        <w:rPr>
          <w:rFonts w:ascii="Arial" w:hAnsi="Arial" w:cs="Arial"/>
          <w:sz w:val="22"/>
          <w:szCs w:val="22"/>
        </w:rPr>
        <w:t xml:space="preserve">Foi realizado um estudo do tipo observacional com delineamento transversal. </w:t>
      </w:r>
    </w:p>
    <w:p w14:paraId="4AC08BD2" w14:textId="77777777" w:rsidR="00BD483A" w:rsidRPr="00BD483A" w:rsidRDefault="00BD483A" w:rsidP="00BD483A">
      <w:pPr>
        <w:jc w:val="both"/>
        <w:rPr>
          <w:rFonts w:ascii="Arial" w:hAnsi="Arial" w:cs="Arial"/>
          <w:sz w:val="22"/>
          <w:szCs w:val="22"/>
        </w:rPr>
      </w:pPr>
      <w:r w:rsidRPr="00BD483A">
        <w:rPr>
          <w:rFonts w:ascii="Arial" w:hAnsi="Arial" w:cs="Arial"/>
          <w:sz w:val="22"/>
          <w:szCs w:val="22"/>
        </w:rPr>
        <w:t>A população foi composta por indivíduos do Centro de Atendimento Psicossocial II (CAPS II) na cidade de Tubarão/SC, que proporciona um serviço ambulatorial de atenção diária para pessoas com transtornos psíquicos, em atendimentos individuais e em grupo, dentro das diretrizes do Ministério da Saúde. Os serviços são desenvolvidos através de oficinas terapêuticas, psicoterapia, atendimento à família, além de atividades comunitárias que visam interagir o paciente com a comunidade.</w:t>
      </w:r>
    </w:p>
    <w:p w14:paraId="57C0CE21" w14:textId="77777777" w:rsidR="00BD483A" w:rsidRPr="00BD483A" w:rsidRDefault="00BD483A" w:rsidP="00BD483A">
      <w:pPr>
        <w:jc w:val="both"/>
        <w:rPr>
          <w:rFonts w:ascii="Arial" w:hAnsi="Arial" w:cs="Arial"/>
          <w:sz w:val="22"/>
          <w:szCs w:val="22"/>
        </w:rPr>
      </w:pPr>
      <w:r w:rsidRPr="00BD483A">
        <w:rPr>
          <w:rFonts w:ascii="Arial" w:hAnsi="Arial" w:cs="Arial"/>
          <w:sz w:val="22"/>
          <w:szCs w:val="22"/>
        </w:rPr>
        <w:t xml:space="preserve">Na coleta de dados foi aplicado um questionário com dados sociodemográficos, como idade, sexo, profissão, número de filhos, escolaridade, estado civil, estatura, peso, IMC, procedência. Para avaliação do transtorno alimentar foi utilizado o questionário Eating Attitudes Test (EAT-26) </w:t>
      </w:r>
    </w:p>
    <w:p w14:paraId="1AB0B5D6" w14:textId="77777777" w:rsidR="00BD483A" w:rsidRPr="00BD483A" w:rsidRDefault="00BD483A" w:rsidP="00BD483A">
      <w:pPr>
        <w:jc w:val="both"/>
        <w:rPr>
          <w:rFonts w:ascii="Arial" w:hAnsi="Arial" w:cs="Arial"/>
          <w:sz w:val="22"/>
          <w:szCs w:val="22"/>
        </w:rPr>
      </w:pPr>
      <w:r w:rsidRPr="00BD483A">
        <w:rPr>
          <w:rFonts w:ascii="Arial" w:hAnsi="Arial" w:cs="Arial"/>
          <w:sz w:val="22"/>
          <w:szCs w:val="22"/>
        </w:rPr>
        <w:t>Este trabalho foi aprovado pelo Comitê de Ética em pesquisa sob o número do Parecer: 7.588.961, CAAE 88826125.1.0000.0261.</w:t>
      </w:r>
    </w:p>
    <w:p w14:paraId="74353AD6" w14:textId="77777777" w:rsidR="009F5413" w:rsidRPr="00E8519B" w:rsidRDefault="009F5413" w:rsidP="00E8519B">
      <w:pPr>
        <w:jc w:val="both"/>
        <w:rPr>
          <w:rFonts w:ascii="Arial" w:hAnsi="Arial" w:cs="Arial"/>
          <w:sz w:val="22"/>
          <w:szCs w:val="22"/>
        </w:rPr>
      </w:pPr>
    </w:p>
    <w:p w14:paraId="1F4942CD" w14:textId="77777777" w:rsidR="003761EB" w:rsidRPr="00E8519B" w:rsidRDefault="003761EB" w:rsidP="007A1E23">
      <w:pPr>
        <w:jc w:val="both"/>
        <w:rPr>
          <w:rFonts w:ascii="Arial" w:hAnsi="Arial" w:cs="Arial"/>
          <w:sz w:val="22"/>
          <w:szCs w:val="22"/>
        </w:rPr>
      </w:pPr>
    </w:p>
    <w:p w14:paraId="0213C30B" w14:textId="21FB7B8B" w:rsidR="00911802" w:rsidRDefault="007A1E23" w:rsidP="007A1E23">
      <w:pPr>
        <w:pStyle w:val="PargrafodaLista"/>
        <w:numPr>
          <w:ilvl w:val="0"/>
          <w:numId w:val="4"/>
        </w:numPr>
        <w:jc w:val="both"/>
        <w:rPr>
          <w:rFonts w:ascii="Arial" w:hAnsi="Arial" w:cs="Arial"/>
          <w:b/>
          <w:bCs/>
        </w:rPr>
      </w:pPr>
      <w:r w:rsidRPr="00E8519B">
        <w:rPr>
          <w:rFonts w:ascii="Arial" w:hAnsi="Arial" w:cs="Arial"/>
          <w:b/>
          <w:bCs/>
        </w:rPr>
        <w:t>Discussões</w:t>
      </w:r>
    </w:p>
    <w:p w14:paraId="11C8D0CC" w14:textId="77777777" w:rsidR="009F5413" w:rsidRDefault="009F5413" w:rsidP="009F5413">
      <w:pPr>
        <w:jc w:val="both"/>
        <w:rPr>
          <w:rFonts w:ascii="Arial" w:hAnsi="Arial" w:cs="Arial"/>
          <w:b/>
          <w:bCs/>
        </w:rPr>
      </w:pPr>
    </w:p>
    <w:p w14:paraId="22E26D30" w14:textId="77777777" w:rsidR="007F1772" w:rsidRPr="007F1772" w:rsidRDefault="007F1772" w:rsidP="007F1772">
      <w:pPr>
        <w:jc w:val="both"/>
        <w:rPr>
          <w:rFonts w:ascii="Arial" w:hAnsi="Arial" w:cs="Arial"/>
          <w:sz w:val="22"/>
          <w:szCs w:val="22"/>
        </w:rPr>
      </w:pPr>
      <w:r w:rsidRPr="007F1772">
        <w:rPr>
          <w:rFonts w:ascii="Arial" w:hAnsi="Arial" w:cs="Arial"/>
          <w:sz w:val="22"/>
          <w:szCs w:val="22"/>
        </w:rPr>
        <w:t>A amostra foi composta por 41 participantes, predominando o sexo feminino (83%; n = 34), com média de idade de 44,5 anos (DP = 15,2; mínimo 16, máximo 77 anos). Em relação à escolaridade, 56% (n = 23) possuíam ensino fundamental completo ou incompleto, enquanto somente 12% (n = 5) tinham ensino superior (completo ou incompleto). Houve grande diversidade ocupacional, com “do lar” (9,8%), desempregadas (4,8%) e funções como costureira, cuidadora e estudante representadas isoladamente.</w:t>
      </w:r>
    </w:p>
    <w:p w14:paraId="6383A061" w14:textId="77777777" w:rsidR="007F1772" w:rsidRPr="007F1772" w:rsidRDefault="007F1772" w:rsidP="007F1772">
      <w:pPr>
        <w:jc w:val="both"/>
        <w:rPr>
          <w:rFonts w:ascii="Arial" w:hAnsi="Arial" w:cs="Arial"/>
          <w:sz w:val="22"/>
          <w:szCs w:val="22"/>
        </w:rPr>
      </w:pPr>
    </w:p>
    <w:p w14:paraId="4BAC9030" w14:textId="77777777" w:rsidR="007F1772" w:rsidRPr="007F1772" w:rsidRDefault="007F1772" w:rsidP="007F1772">
      <w:pPr>
        <w:jc w:val="both"/>
        <w:rPr>
          <w:rFonts w:ascii="Arial" w:hAnsi="Arial" w:cs="Arial"/>
          <w:sz w:val="22"/>
          <w:szCs w:val="22"/>
        </w:rPr>
      </w:pPr>
      <w:r w:rsidRPr="007F1772">
        <w:rPr>
          <w:rFonts w:ascii="Arial" w:hAnsi="Arial" w:cs="Arial"/>
          <w:sz w:val="22"/>
          <w:szCs w:val="22"/>
        </w:rPr>
        <w:t>Quanto ao perfil socioeconômico, 31,7% (n = 13) declararam viver com menos de 1 salário mínimo e 17% (n = 7) sobrevivem com exatamente 1 salário mínimo. A mediana do número de filhos foi 1, variando de 0 a 8 filhos (36,6% não tinham filhos, 26,8% tinham 2 filhos).</w:t>
      </w:r>
    </w:p>
    <w:p w14:paraId="3624714E" w14:textId="77777777" w:rsidR="007F1772" w:rsidRPr="007F1772" w:rsidRDefault="007F1772" w:rsidP="007F1772">
      <w:pPr>
        <w:jc w:val="both"/>
        <w:rPr>
          <w:rFonts w:ascii="Arial" w:hAnsi="Arial" w:cs="Arial"/>
          <w:sz w:val="22"/>
          <w:szCs w:val="22"/>
        </w:rPr>
      </w:pPr>
    </w:p>
    <w:p w14:paraId="2F1B9E72" w14:textId="77777777" w:rsidR="007F1772" w:rsidRPr="007F1772" w:rsidRDefault="007F1772" w:rsidP="007F1772">
      <w:pPr>
        <w:jc w:val="both"/>
        <w:rPr>
          <w:rFonts w:ascii="Arial" w:hAnsi="Arial" w:cs="Arial"/>
          <w:sz w:val="22"/>
          <w:szCs w:val="22"/>
        </w:rPr>
      </w:pPr>
      <w:r w:rsidRPr="007F1772">
        <w:rPr>
          <w:rFonts w:ascii="Arial" w:hAnsi="Arial" w:cs="Arial"/>
          <w:sz w:val="22"/>
          <w:szCs w:val="22"/>
        </w:rPr>
        <w:t>Clinicamente, 65,9% (n = 27) não tinham diagnóstico psiquiátrico específico registrado; os diagnósticos mais recorrentes foram Transtorno Afetivo Bipolar (TAB; 4,9%), Transtorno Depressivo Maior (TDM; 7,3%) e esquizofrenia (4,9%). Quanto a comorbidades, 22% relataram pelo menos uma condição associada, como diabetes (4,8%), hipertensão arterial (7,2%) e dislipidemia (4,8%).</w:t>
      </w:r>
    </w:p>
    <w:p w14:paraId="519A3E79" w14:textId="77777777" w:rsidR="007F1772" w:rsidRPr="007F1772" w:rsidRDefault="007F1772" w:rsidP="007F1772">
      <w:pPr>
        <w:jc w:val="both"/>
        <w:rPr>
          <w:rFonts w:ascii="Arial" w:hAnsi="Arial" w:cs="Arial"/>
          <w:sz w:val="22"/>
          <w:szCs w:val="22"/>
        </w:rPr>
      </w:pPr>
    </w:p>
    <w:p w14:paraId="255B979A" w14:textId="77777777" w:rsidR="007F1772" w:rsidRPr="007F1772" w:rsidRDefault="007F1772" w:rsidP="007F1772">
      <w:pPr>
        <w:jc w:val="both"/>
        <w:rPr>
          <w:rFonts w:ascii="Arial" w:hAnsi="Arial" w:cs="Arial"/>
          <w:sz w:val="22"/>
          <w:szCs w:val="22"/>
        </w:rPr>
      </w:pPr>
      <w:r w:rsidRPr="007F1772">
        <w:rPr>
          <w:rFonts w:ascii="Arial" w:hAnsi="Arial" w:cs="Arial"/>
          <w:sz w:val="22"/>
          <w:szCs w:val="22"/>
        </w:rPr>
        <w:t>O IMC médio foi de 29,7 kg/m² (DP = 7,1; mínimo 18,9, máximo 53,7), o peso médio de 78 kg (DP = 20; mínimo 49 kg, máximo 153 kg), estatura média de 1,62 m (DP = 0,07), circunferência abdominal média de 93,3 cm (DP = 16,0) e circunferência do quadril de 107,8 cm (DP = 12,4). Na pontuação do EAT-26, a média foi de 30,6 pontos (DP = 13,5; mínimo 3, máximo 63), indicando que 80,6% (n = 25 de 31 respondentes) apresentaram risco aumentado para distúrbios alimentares.</w:t>
      </w:r>
    </w:p>
    <w:p w14:paraId="45D3BB26" w14:textId="77777777" w:rsidR="007F1772" w:rsidRPr="007F1772" w:rsidRDefault="007F1772" w:rsidP="007F1772">
      <w:pPr>
        <w:jc w:val="both"/>
        <w:rPr>
          <w:rFonts w:ascii="Arial" w:hAnsi="Arial" w:cs="Arial"/>
          <w:sz w:val="22"/>
          <w:szCs w:val="22"/>
        </w:rPr>
      </w:pPr>
    </w:p>
    <w:p w14:paraId="57CA4A4E" w14:textId="5AD084F7" w:rsidR="009F5413" w:rsidRPr="007F1772" w:rsidRDefault="007F1772" w:rsidP="007F1772">
      <w:pPr>
        <w:jc w:val="both"/>
        <w:rPr>
          <w:rFonts w:ascii="Arial" w:hAnsi="Arial" w:cs="Arial"/>
          <w:sz w:val="22"/>
          <w:szCs w:val="22"/>
        </w:rPr>
      </w:pPr>
      <w:r w:rsidRPr="007F1772">
        <w:rPr>
          <w:rFonts w:ascii="Arial" w:hAnsi="Arial" w:cs="Arial"/>
          <w:sz w:val="22"/>
          <w:szCs w:val="22"/>
        </w:rPr>
        <w:t>As análises de regressão mostraram que a pontuação do EAT-26 não teve associação significativa com IMC (R² = 0,045; p = 0,260), circunferência</w:t>
      </w:r>
      <w:r>
        <w:rPr>
          <w:rFonts w:ascii="Arial" w:hAnsi="Arial" w:cs="Arial"/>
          <w:sz w:val="22"/>
          <w:szCs w:val="22"/>
        </w:rPr>
        <w:t>/quadril</w:t>
      </w:r>
      <w:r w:rsidRPr="007F1772">
        <w:rPr>
          <w:rFonts w:ascii="Arial" w:hAnsi="Arial" w:cs="Arial"/>
          <w:sz w:val="22"/>
          <w:szCs w:val="22"/>
        </w:rPr>
        <w:t xml:space="preserve"> (R² = 0,014; p = 0,569) ou idade (R² = 0,028; p = 0,377), sugerindo que esses marcadores não explicam, individualmente, o risco aumentado de comportamento alimentar inadequado nessa amostra.</w:t>
      </w:r>
    </w:p>
    <w:p w14:paraId="131835B9" w14:textId="77777777" w:rsidR="009F5413" w:rsidRDefault="009F5413" w:rsidP="009F5413">
      <w:pPr>
        <w:jc w:val="both"/>
        <w:rPr>
          <w:rFonts w:ascii="Arial" w:hAnsi="Arial" w:cs="Arial"/>
          <w:sz w:val="22"/>
          <w:szCs w:val="22"/>
        </w:rPr>
      </w:pPr>
    </w:p>
    <w:p w14:paraId="4141C344" w14:textId="77777777" w:rsidR="007F1772" w:rsidRDefault="007F1772" w:rsidP="007F1772">
      <w:pPr>
        <w:jc w:val="both"/>
        <w:rPr>
          <w:rFonts w:ascii="Arial" w:hAnsi="Arial" w:cs="Arial"/>
          <w:sz w:val="22"/>
          <w:szCs w:val="22"/>
        </w:rPr>
      </w:pPr>
      <w:r w:rsidRPr="007F1772">
        <w:rPr>
          <w:rFonts w:ascii="Arial" w:hAnsi="Arial" w:cs="Arial"/>
          <w:sz w:val="22"/>
          <w:szCs w:val="22"/>
        </w:rPr>
        <w:t>Os resultados encontrados neste estudo, tendo como população pacientes do CAPS II, revelam perfil marcadamente feminino, baixa renda e escolaridade limitada. Esses dados refletem o contexto social frequentemente observado em serviços públicos de saúde mental, onde há predominância de mulheres com múltiplos fatores de vulnerabilidade socioeconômica. A diversidade das profissões e o elevado percentual de desemprego ou trabalho informal reforçam a presença de determinantes sociais que podem impactar negativamente tanto a saúde mental quanto o comportamento alimentar.</w:t>
      </w:r>
    </w:p>
    <w:p w14:paraId="7B8D1290" w14:textId="77777777" w:rsidR="009E2D21" w:rsidRPr="007F1772" w:rsidRDefault="009E2D21" w:rsidP="007F1772">
      <w:pPr>
        <w:jc w:val="both"/>
        <w:rPr>
          <w:rFonts w:ascii="Arial" w:hAnsi="Arial" w:cs="Arial"/>
          <w:sz w:val="22"/>
          <w:szCs w:val="22"/>
        </w:rPr>
      </w:pPr>
    </w:p>
    <w:p w14:paraId="12ECCE37" w14:textId="77777777" w:rsidR="007F1772" w:rsidRDefault="007F1772" w:rsidP="007F1772">
      <w:pPr>
        <w:jc w:val="both"/>
        <w:rPr>
          <w:rFonts w:ascii="Arial" w:hAnsi="Arial" w:cs="Arial"/>
          <w:sz w:val="22"/>
          <w:szCs w:val="22"/>
        </w:rPr>
      </w:pPr>
      <w:r w:rsidRPr="007F1772">
        <w:rPr>
          <w:rFonts w:ascii="Arial" w:hAnsi="Arial" w:cs="Arial"/>
          <w:sz w:val="22"/>
          <w:szCs w:val="22"/>
        </w:rPr>
        <w:t>Apesar da alta prevalência de risco para transtornos alimentares (média EAT-26 de cerca de 30,6 pontos, com mais de 80% classificados em risco), não houve associação estatística significativa entre esta pontuação e indicadores antropométricos clássicos, como IMC, idade ou circunferências. Isso sugere que, no contexto da população do CAPS II, os comportamentos alimentares de risco não se relacionam de forma linear com marcadores corporais tradicionais, indicando que fatores psiquiátricos, ambientais e sociais podem ser mais determinantes.</w:t>
      </w:r>
    </w:p>
    <w:p w14:paraId="2F847664" w14:textId="77777777" w:rsidR="009E2D21" w:rsidRPr="007F1772" w:rsidRDefault="009E2D21" w:rsidP="007F1772">
      <w:pPr>
        <w:jc w:val="both"/>
        <w:rPr>
          <w:rFonts w:ascii="Arial" w:hAnsi="Arial" w:cs="Arial"/>
          <w:sz w:val="22"/>
          <w:szCs w:val="22"/>
        </w:rPr>
      </w:pPr>
    </w:p>
    <w:p w14:paraId="21AFC489" w14:textId="77777777" w:rsidR="007F1772" w:rsidRPr="007F1772" w:rsidRDefault="007F1772" w:rsidP="007F1772">
      <w:pPr>
        <w:jc w:val="both"/>
        <w:rPr>
          <w:rFonts w:ascii="Arial" w:hAnsi="Arial" w:cs="Arial"/>
          <w:sz w:val="22"/>
          <w:szCs w:val="22"/>
        </w:rPr>
      </w:pPr>
      <w:r w:rsidRPr="007F1772">
        <w:rPr>
          <w:rFonts w:ascii="Arial" w:hAnsi="Arial" w:cs="Arial"/>
          <w:sz w:val="22"/>
          <w:szCs w:val="22"/>
        </w:rPr>
        <w:t>A inexistência de correlação entre o EAT-26 e o IMC, por exemplo, aponta para a necessidade de avaliação mais ampla e integrada no acompanhamento desses pacientes, indo além das medidas corporais e considerando aspectos emocionais, sociais e clínicos. O resultado evidencia também a importância de estratégias multidisciplinares para o cuidado em saúde mental, sobretudo em ambientes onde a vulnerabilidade social se entrelaça com a condição clínica</w:t>
      </w:r>
    </w:p>
    <w:p w14:paraId="1D62096A" w14:textId="77777777" w:rsidR="007F1772" w:rsidRPr="007F1772" w:rsidRDefault="007F1772" w:rsidP="009F5413">
      <w:pPr>
        <w:jc w:val="both"/>
        <w:rPr>
          <w:rFonts w:ascii="Arial" w:hAnsi="Arial" w:cs="Arial"/>
          <w:sz w:val="22"/>
          <w:szCs w:val="22"/>
        </w:rPr>
      </w:pPr>
    </w:p>
    <w:p w14:paraId="20954AC4" w14:textId="5EAD9922" w:rsidR="002C5B97" w:rsidRDefault="002C5B97" w:rsidP="006B3449">
      <w:pPr>
        <w:jc w:val="both"/>
        <w:rPr>
          <w:rFonts w:ascii="Arial" w:hAnsi="Arial" w:cs="Arial"/>
          <w:sz w:val="22"/>
          <w:szCs w:val="22"/>
        </w:rPr>
      </w:pPr>
    </w:p>
    <w:p w14:paraId="0D5AC29F" w14:textId="77777777" w:rsidR="002C5B97" w:rsidRDefault="002C5B97" w:rsidP="006B3449">
      <w:pPr>
        <w:jc w:val="both"/>
        <w:rPr>
          <w:rFonts w:ascii="Arial" w:hAnsi="Arial" w:cs="Arial"/>
          <w:sz w:val="22"/>
          <w:szCs w:val="22"/>
        </w:rPr>
      </w:pPr>
    </w:p>
    <w:p w14:paraId="1D4EF34F" w14:textId="77777777" w:rsidR="002C5B97" w:rsidRDefault="002C5B97" w:rsidP="006B3449">
      <w:pPr>
        <w:jc w:val="both"/>
        <w:rPr>
          <w:rFonts w:ascii="Arial" w:hAnsi="Arial" w:cs="Arial"/>
          <w:sz w:val="22"/>
          <w:szCs w:val="22"/>
        </w:rPr>
      </w:pPr>
    </w:p>
    <w:p w14:paraId="4D2B6C20" w14:textId="2E4C9500" w:rsidR="009F5413" w:rsidRDefault="00ED7E7E" w:rsidP="009F5413">
      <w:pPr>
        <w:pStyle w:val="PargrafodaLista"/>
        <w:numPr>
          <w:ilvl w:val="0"/>
          <w:numId w:val="4"/>
        </w:numPr>
        <w:jc w:val="both"/>
        <w:rPr>
          <w:rFonts w:ascii="Arial" w:hAnsi="Arial" w:cs="Arial"/>
          <w:b/>
          <w:bCs/>
        </w:rPr>
      </w:pPr>
      <w:r w:rsidRPr="00CD4E2A">
        <w:rPr>
          <w:rFonts w:ascii="Arial" w:hAnsi="Arial" w:cs="Arial"/>
          <w:b/>
          <w:bCs/>
        </w:rPr>
        <w:t>Conclusões</w:t>
      </w:r>
    </w:p>
    <w:p w14:paraId="668EB782" w14:textId="77777777" w:rsidR="009F5413" w:rsidRDefault="009F5413" w:rsidP="009F5413">
      <w:pPr>
        <w:jc w:val="both"/>
        <w:rPr>
          <w:rFonts w:ascii="Arial" w:hAnsi="Arial" w:cs="Arial"/>
          <w:b/>
          <w:bCs/>
        </w:rPr>
      </w:pPr>
    </w:p>
    <w:p w14:paraId="0721686C" w14:textId="37C7B361" w:rsidR="002C5B97" w:rsidRDefault="007F1772" w:rsidP="009F5413">
      <w:pPr>
        <w:jc w:val="both"/>
        <w:rPr>
          <w:rFonts w:ascii="Arial" w:hAnsi="Arial" w:cs="Arial"/>
          <w:sz w:val="22"/>
          <w:szCs w:val="22"/>
        </w:rPr>
      </w:pPr>
      <w:r w:rsidRPr="007F1772">
        <w:rPr>
          <w:rFonts w:ascii="Arial" w:hAnsi="Arial" w:cs="Arial"/>
          <w:sz w:val="22"/>
          <w:szCs w:val="22"/>
        </w:rPr>
        <w:t>Em síntese, o estudo revelou que pacientes do CAPS II apresentam elevada prevalência de risco para transtornos alimentares (80,6% dos respondentes do EAT-26) e médias indicativas de sobrepeso e obesidade (IMC = 29,7 kg/m²; circunferência abdominal = 93,3 cm), porém, não houve associação estatisticamente significativa entre risco alimentar e os parâmetros antropométricos avaliados, o que evidencia a complexidade do fenômeno nessa população socialmente vulnerável e reforça a necessidade de abordagens multidisciplinares para o cuidado integral em saúde mental.</w:t>
      </w:r>
    </w:p>
    <w:p w14:paraId="4FBBF5E5" w14:textId="77777777" w:rsidR="007F1772" w:rsidRPr="009F5413" w:rsidRDefault="007F1772" w:rsidP="009F5413">
      <w:pPr>
        <w:jc w:val="both"/>
        <w:rPr>
          <w:rFonts w:ascii="Arial" w:hAnsi="Arial" w:cs="Arial"/>
          <w:sz w:val="22"/>
          <w:szCs w:val="22"/>
        </w:rPr>
      </w:pPr>
    </w:p>
    <w:p w14:paraId="3EBF607F" w14:textId="77777777" w:rsidR="00ED7E7E" w:rsidRPr="00ED7E7E" w:rsidRDefault="00ED7E7E" w:rsidP="007A1E23">
      <w:pPr>
        <w:jc w:val="both"/>
        <w:rPr>
          <w:rFonts w:ascii="Arial" w:hAnsi="Arial" w:cs="Arial"/>
          <w:b/>
          <w:bCs/>
          <w:sz w:val="22"/>
          <w:szCs w:val="22"/>
        </w:rPr>
      </w:pPr>
    </w:p>
    <w:p w14:paraId="5D191EF8" w14:textId="5B628299" w:rsidR="00ED7E7E" w:rsidRDefault="00ED7E7E" w:rsidP="00CD4E2A">
      <w:pPr>
        <w:pStyle w:val="PargrafodaLista"/>
        <w:numPr>
          <w:ilvl w:val="0"/>
          <w:numId w:val="4"/>
        </w:numPr>
        <w:jc w:val="both"/>
        <w:rPr>
          <w:rFonts w:ascii="Arial" w:hAnsi="Arial" w:cs="Arial"/>
          <w:b/>
          <w:bCs/>
        </w:rPr>
      </w:pPr>
      <w:r w:rsidRPr="00CD4E2A">
        <w:rPr>
          <w:rFonts w:ascii="Arial" w:hAnsi="Arial" w:cs="Arial"/>
          <w:b/>
          <w:bCs/>
        </w:rPr>
        <w:t>Referências Bibliográficas</w:t>
      </w:r>
    </w:p>
    <w:p w14:paraId="22281772" w14:textId="77777777" w:rsidR="00E57685" w:rsidRPr="00E57685" w:rsidRDefault="00E57685" w:rsidP="00E57685">
      <w:pPr>
        <w:pStyle w:val="PargrafodaLista"/>
        <w:rPr>
          <w:rFonts w:ascii="Arial" w:hAnsi="Arial" w:cs="Arial"/>
          <w:b/>
          <w:bCs/>
        </w:rPr>
      </w:pPr>
    </w:p>
    <w:p w14:paraId="27EF4B4A" w14:textId="77777777" w:rsidR="00E57685" w:rsidRPr="00CD4E2A" w:rsidRDefault="00E57685" w:rsidP="00E57685">
      <w:pPr>
        <w:pStyle w:val="PargrafodaLista"/>
        <w:jc w:val="both"/>
        <w:rPr>
          <w:rFonts w:ascii="Arial" w:hAnsi="Arial" w:cs="Arial"/>
          <w:b/>
          <w:bCs/>
        </w:rPr>
      </w:pPr>
    </w:p>
    <w:p w14:paraId="58538945" w14:textId="77777777" w:rsidR="00BD483A" w:rsidRPr="00BD483A" w:rsidRDefault="00BD483A" w:rsidP="00BD483A">
      <w:pPr>
        <w:jc w:val="both"/>
        <w:rPr>
          <w:rFonts w:ascii="Arial" w:hAnsi="Arial" w:cs="Arial"/>
          <w:sz w:val="22"/>
          <w:szCs w:val="22"/>
        </w:rPr>
      </w:pPr>
      <w:r w:rsidRPr="00BD483A">
        <w:rPr>
          <w:rFonts w:ascii="Arial" w:hAnsi="Arial" w:cs="Arial"/>
          <w:sz w:val="22"/>
          <w:szCs w:val="22"/>
        </w:rPr>
        <w:t>1.Associação Americana de Psiquiatria (APA). Manual Diagnóstico e Estatístico de Transtornos Mentais – DSM-5. Porto Alegre: Artmed, 2014.</w:t>
      </w:r>
    </w:p>
    <w:p w14:paraId="17C5EE1E" w14:textId="77777777" w:rsidR="00BD483A" w:rsidRPr="00BD483A" w:rsidRDefault="00BD483A" w:rsidP="00BD483A">
      <w:pPr>
        <w:jc w:val="both"/>
        <w:rPr>
          <w:rFonts w:ascii="Arial" w:hAnsi="Arial" w:cs="Arial"/>
          <w:sz w:val="22"/>
          <w:szCs w:val="22"/>
        </w:rPr>
      </w:pPr>
      <w:r w:rsidRPr="00BD483A">
        <w:rPr>
          <w:rFonts w:ascii="Arial" w:hAnsi="Arial" w:cs="Arial"/>
          <w:sz w:val="22"/>
          <w:szCs w:val="22"/>
        </w:rPr>
        <w:t>2-Cordás, T. A. (1999). Complicações clínicas da anorexia nervosa e bulimia nervosa. Revista Brasileira de Psiquiatria, 21(1), 11-14.</w:t>
      </w:r>
    </w:p>
    <w:p w14:paraId="1F4CA468" w14:textId="77777777" w:rsidR="00BD483A" w:rsidRPr="00BD483A" w:rsidRDefault="00BD483A" w:rsidP="00BD483A">
      <w:pPr>
        <w:jc w:val="both"/>
        <w:rPr>
          <w:rFonts w:ascii="Arial" w:hAnsi="Arial" w:cs="Arial"/>
          <w:sz w:val="22"/>
          <w:szCs w:val="22"/>
        </w:rPr>
      </w:pPr>
      <w:r w:rsidRPr="00BD483A">
        <w:rPr>
          <w:rFonts w:ascii="Arial" w:hAnsi="Arial" w:cs="Arial"/>
          <w:sz w:val="22"/>
          <w:szCs w:val="22"/>
        </w:rPr>
        <w:t xml:space="preserve">3-Momen NC, Plana-Ripoll O, Yilmaz Z, Thornton LM, McGrath JJ, Bulik CM, Petersen LV. </w:t>
      </w:r>
      <w:r w:rsidRPr="00BD483A">
        <w:rPr>
          <w:rFonts w:ascii="Arial" w:hAnsi="Arial" w:cs="Arial"/>
          <w:sz w:val="22"/>
          <w:szCs w:val="22"/>
          <w:lang w:val="en-US"/>
        </w:rPr>
        <w:t xml:space="preserve">Comorbidity between eating disorders and psychiatric disorders. Int J Eat Disord. </w:t>
      </w:r>
      <w:r w:rsidRPr="00BD483A">
        <w:rPr>
          <w:rFonts w:ascii="Arial" w:hAnsi="Arial" w:cs="Arial"/>
          <w:sz w:val="22"/>
          <w:szCs w:val="22"/>
        </w:rPr>
        <w:t>2022 Apr;55(4):505-517. doi: 10.1002/eat.23687. Epub 2022 Jan 27. PMID: 35084057; PMCID: PMC9763547.</w:t>
      </w:r>
    </w:p>
    <w:p w14:paraId="5A4BE366" w14:textId="77777777" w:rsidR="00BD483A" w:rsidRPr="00BD483A" w:rsidRDefault="00BD483A" w:rsidP="00BD483A">
      <w:pPr>
        <w:jc w:val="both"/>
        <w:rPr>
          <w:rFonts w:ascii="Arial" w:hAnsi="Arial" w:cs="Arial"/>
          <w:sz w:val="22"/>
          <w:szCs w:val="22"/>
        </w:rPr>
      </w:pPr>
      <w:r w:rsidRPr="00BD483A">
        <w:rPr>
          <w:rFonts w:ascii="Arial" w:hAnsi="Arial" w:cs="Arial"/>
          <w:sz w:val="22"/>
          <w:szCs w:val="22"/>
        </w:rPr>
        <w:t>4-VALE, Antonio Maia Olsen do  e  ELIAS, Liana Rosa. Transtornos alimentares: uma perspectiva analítico-comportamental. Rev. bras. ter. comport. cogn. [online]. 2011, vol.13, n.1 [citado  2024-06-17], pp.52-70.</w:t>
      </w:r>
    </w:p>
    <w:p w14:paraId="2C5FB40C" w14:textId="77777777" w:rsidR="00BD483A" w:rsidRPr="00BD483A" w:rsidRDefault="00BD483A" w:rsidP="00BD483A">
      <w:pPr>
        <w:jc w:val="both"/>
        <w:rPr>
          <w:rFonts w:ascii="Arial" w:hAnsi="Arial" w:cs="Arial"/>
          <w:sz w:val="22"/>
          <w:szCs w:val="22"/>
        </w:rPr>
      </w:pPr>
      <w:r w:rsidRPr="00BD483A">
        <w:rPr>
          <w:rFonts w:ascii="Arial" w:hAnsi="Arial" w:cs="Arial"/>
          <w:sz w:val="22"/>
          <w:szCs w:val="22"/>
        </w:rPr>
        <w:t>5-NUNES, Arlene Leite  e  HOLANDA, Adriano. Compreendendo os transtornos alimentares pelos caminhos da Gestalt-terapia. Rev. abordagem gestalt. [online]. 2008, vol.14, n.2 [citado  2024-06-17], pp.172-181.</w:t>
      </w:r>
    </w:p>
    <w:p w14:paraId="6E8AEABA" w14:textId="77777777" w:rsidR="00BD483A" w:rsidRPr="00BD483A" w:rsidRDefault="00BD483A" w:rsidP="00BD483A">
      <w:pPr>
        <w:jc w:val="both"/>
        <w:rPr>
          <w:rFonts w:ascii="Arial" w:hAnsi="Arial" w:cs="Arial"/>
          <w:sz w:val="22"/>
          <w:szCs w:val="22"/>
        </w:rPr>
      </w:pPr>
      <w:r w:rsidRPr="00BD483A">
        <w:rPr>
          <w:rFonts w:ascii="Arial" w:hAnsi="Arial" w:cs="Arial"/>
          <w:sz w:val="22"/>
          <w:szCs w:val="22"/>
        </w:rPr>
        <w:t>6-Kaplan, H.I.; Sadock, B.J. &amp; Grebb, J.A. (1997). Compêndio de Psiquiatria 7a edição. Porto Alegre: Artes Médicas. [Links.</w:t>
      </w:r>
    </w:p>
    <w:p w14:paraId="625BCE84" w14:textId="77777777" w:rsidR="00BD483A" w:rsidRPr="00BD483A" w:rsidRDefault="00BD483A" w:rsidP="00BD483A">
      <w:pPr>
        <w:jc w:val="both"/>
        <w:rPr>
          <w:rFonts w:ascii="Arial" w:hAnsi="Arial" w:cs="Arial"/>
          <w:sz w:val="22"/>
          <w:szCs w:val="22"/>
        </w:rPr>
      </w:pPr>
      <w:r w:rsidRPr="00BD483A">
        <w:rPr>
          <w:rFonts w:ascii="Arial" w:hAnsi="Arial" w:cs="Arial"/>
          <w:sz w:val="22"/>
          <w:szCs w:val="22"/>
        </w:rPr>
        <w:t>7-Fairburn CG, Cooper Z, Shafran R, Wilson GT. Transtorno da alimentação: um protocolo transdiagnóstico. In: Barlow DH, editor. Manual clínico dos transtornos psicológicos: tratamento passo a passo. 4a ed. Traduzido por Roberto Catalado Costa. Porto Alegre: Artmed; 2009. p. 577-614.</w:t>
      </w:r>
    </w:p>
    <w:p w14:paraId="249D065A" w14:textId="77777777" w:rsidR="007A1E23" w:rsidRDefault="007A1E23" w:rsidP="007A1E23">
      <w:pPr>
        <w:jc w:val="both"/>
        <w:rPr>
          <w:rFonts w:ascii="Arial" w:hAnsi="Arial" w:cs="Arial"/>
          <w:b/>
          <w:bCs/>
          <w:sz w:val="22"/>
          <w:szCs w:val="22"/>
        </w:rPr>
      </w:pPr>
    </w:p>
    <w:p w14:paraId="3BA647AE" w14:textId="77777777" w:rsidR="007A1E23" w:rsidRDefault="007A1E23" w:rsidP="007A1E23">
      <w:pPr>
        <w:jc w:val="both"/>
        <w:rPr>
          <w:rFonts w:ascii="Arial" w:hAnsi="Arial" w:cs="Arial"/>
          <w:b/>
          <w:bCs/>
          <w:sz w:val="22"/>
          <w:szCs w:val="22"/>
        </w:rPr>
      </w:pPr>
    </w:p>
    <w:p w14:paraId="758E53E6" w14:textId="77777777" w:rsidR="00ED7E7E" w:rsidRDefault="00ED7E7E" w:rsidP="007A1E23">
      <w:pPr>
        <w:jc w:val="both"/>
        <w:rPr>
          <w:rFonts w:ascii="Arial" w:hAnsi="Arial" w:cs="Arial"/>
          <w:b/>
          <w:bCs/>
          <w:sz w:val="22"/>
          <w:szCs w:val="22"/>
        </w:rPr>
      </w:pPr>
    </w:p>
    <w:p w14:paraId="537FF127" w14:textId="77777777" w:rsidR="00ED7E7E" w:rsidRDefault="00ED7E7E" w:rsidP="007A1E23">
      <w:pPr>
        <w:jc w:val="both"/>
        <w:rPr>
          <w:rFonts w:ascii="Arial" w:hAnsi="Arial" w:cs="Arial"/>
          <w:b/>
          <w:bCs/>
          <w:sz w:val="22"/>
          <w:szCs w:val="22"/>
        </w:rPr>
      </w:pPr>
    </w:p>
    <w:p w14:paraId="0AE9FE4C" w14:textId="77777777" w:rsidR="00ED7E7E" w:rsidRDefault="00ED7E7E" w:rsidP="007A1E23">
      <w:pPr>
        <w:jc w:val="both"/>
        <w:rPr>
          <w:rFonts w:ascii="Arial" w:hAnsi="Arial" w:cs="Arial"/>
          <w:b/>
          <w:bCs/>
          <w:sz w:val="22"/>
          <w:szCs w:val="22"/>
        </w:rPr>
      </w:pPr>
    </w:p>
    <w:p w14:paraId="5A5B4B71" w14:textId="77777777" w:rsidR="00ED7E7E" w:rsidRDefault="00ED7E7E" w:rsidP="007A1E23">
      <w:pPr>
        <w:jc w:val="both"/>
        <w:rPr>
          <w:rFonts w:ascii="Arial" w:hAnsi="Arial" w:cs="Arial"/>
          <w:b/>
          <w:bCs/>
          <w:sz w:val="22"/>
          <w:szCs w:val="22"/>
        </w:rPr>
      </w:pPr>
    </w:p>
    <w:sectPr w:rsidR="00ED7E7E" w:rsidSect="000C7F31">
      <w:headerReference w:type="default" r:id="rId7"/>
      <w:footerReference w:type="default" r:id="rId8"/>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AFC3E" w14:textId="77777777" w:rsidR="00F83998" w:rsidRDefault="00F83998" w:rsidP="00442DE5">
      <w:r>
        <w:separator/>
      </w:r>
    </w:p>
  </w:endnote>
  <w:endnote w:type="continuationSeparator" w:id="0">
    <w:p w14:paraId="1018FAEB" w14:textId="77777777" w:rsidR="00F83998" w:rsidRDefault="00F83998" w:rsidP="00442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F18A0" w14:textId="64769BE3" w:rsidR="00796FF0" w:rsidRDefault="00796FF0">
    <w:pPr>
      <w:pStyle w:val="Rodap"/>
    </w:pPr>
  </w:p>
  <w:p w14:paraId="61093156" w14:textId="0CB5F3F3" w:rsidR="00796FF0" w:rsidRDefault="00796FF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F375F" w14:textId="77777777" w:rsidR="00F83998" w:rsidRDefault="00F83998" w:rsidP="00442DE5">
      <w:r>
        <w:separator/>
      </w:r>
    </w:p>
  </w:footnote>
  <w:footnote w:type="continuationSeparator" w:id="0">
    <w:p w14:paraId="1CA613AF" w14:textId="77777777" w:rsidR="00F83998" w:rsidRDefault="00F83998" w:rsidP="00442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E260C" w14:textId="3180DA1D" w:rsidR="00796FF0" w:rsidRDefault="00796FF0">
    <w:pPr>
      <w:pStyle w:val="Cabealho"/>
    </w:pPr>
  </w:p>
  <w:p w14:paraId="0F025633" w14:textId="3E8A9D48" w:rsidR="00442DE5" w:rsidRDefault="00442DE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A6BA5"/>
    <w:multiLevelType w:val="hybridMultilevel"/>
    <w:tmpl w:val="CBF4F96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3306242F"/>
    <w:multiLevelType w:val="hybridMultilevel"/>
    <w:tmpl w:val="A5FAD91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F224249"/>
    <w:multiLevelType w:val="hybridMultilevel"/>
    <w:tmpl w:val="03261CBC"/>
    <w:lvl w:ilvl="0" w:tplc="04160005">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 w15:restartNumberingAfterBreak="0">
    <w:nsid w:val="730C5456"/>
    <w:multiLevelType w:val="hybridMultilevel"/>
    <w:tmpl w:val="3C88A5E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880364048">
    <w:abstractNumId w:val="3"/>
  </w:num>
  <w:num w:numId="2" w16cid:durableId="239415022">
    <w:abstractNumId w:val="2"/>
  </w:num>
  <w:num w:numId="3" w16cid:durableId="1720544977">
    <w:abstractNumId w:val="0"/>
  </w:num>
  <w:num w:numId="4" w16cid:durableId="13887237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DE5"/>
    <w:rsid w:val="00063ACE"/>
    <w:rsid w:val="000C7F31"/>
    <w:rsid w:val="000D5F62"/>
    <w:rsid w:val="000E0D65"/>
    <w:rsid w:val="00132E47"/>
    <w:rsid w:val="00165C8E"/>
    <w:rsid w:val="00174678"/>
    <w:rsid w:val="00182FEC"/>
    <w:rsid w:val="00192704"/>
    <w:rsid w:val="00194000"/>
    <w:rsid w:val="001B6D58"/>
    <w:rsid w:val="00257374"/>
    <w:rsid w:val="00292D38"/>
    <w:rsid w:val="002A52EE"/>
    <w:rsid w:val="002B5BAE"/>
    <w:rsid w:val="002C0E30"/>
    <w:rsid w:val="002C5B97"/>
    <w:rsid w:val="002E5D97"/>
    <w:rsid w:val="00336BB1"/>
    <w:rsid w:val="00344C80"/>
    <w:rsid w:val="003761EB"/>
    <w:rsid w:val="0041498C"/>
    <w:rsid w:val="00432F03"/>
    <w:rsid w:val="00442DE5"/>
    <w:rsid w:val="0046194A"/>
    <w:rsid w:val="005470AE"/>
    <w:rsid w:val="00614727"/>
    <w:rsid w:val="00625295"/>
    <w:rsid w:val="00697076"/>
    <w:rsid w:val="006B3449"/>
    <w:rsid w:val="00733302"/>
    <w:rsid w:val="00796FF0"/>
    <w:rsid w:val="007A1E23"/>
    <w:rsid w:val="007F1772"/>
    <w:rsid w:val="00836295"/>
    <w:rsid w:val="00872743"/>
    <w:rsid w:val="00911802"/>
    <w:rsid w:val="00912DAE"/>
    <w:rsid w:val="00923BF4"/>
    <w:rsid w:val="00940CC8"/>
    <w:rsid w:val="009521A0"/>
    <w:rsid w:val="009E2D21"/>
    <w:rsid w:val="009E4ED6"/>
    <w:rsid w:val="009F5413"/>
    <w:rsid w:val="009F731A"/>
    <w:rsid w:val="00A051B5"/>
    <w:rsid w:val="00A15E7C"/>
    <w:rsid w:val="00A20934"/>
    <w:rsid w:val="00A27B33"/>
    <w:rsid w:val="00A42229"/>
    <w:rsid w:val="00A9215F"/>
    <w:rsid w:val="00B6796F"/>
    <w:rsid w:val="00B864ED"/>
    <w:rsid w:val="00B954CE"/>
    <w:rsid w:val="00BB05F4"/>
    <w:rsid w:val="00BD2559"/>
    <w:rsid w:val="00BD483A"/>
    <w:rsid w:val="00BF3CB3"/>
    <w:rsid w:val="00C64916"/>
    <w:rsid w:val="00C72B5F"/>
    <w:rsid w:val="00C735CA"/>
    <w:rsid w:val="00C84798"/>
    <w:rsid w:val="00C94BEC"/>
    <w:rsid w:val="00CB0D38"/>
    <w:rsid w:val="00CB4C5C"/>
    <w:rsid w:val="00CD4E2A"/>
    <w:rsid w:val="00CE79B7"/>
    <w:rsid w:val="00CF23DF"/>
    <w:rsid w:val="00CF3A69"/>
    <w:rsid w:val="00D62B16"/>
    <w:rsid w:val="00D71383"/>
    <w:rsid w:val="00D84E97"/>
    <w:rsid w:val="00D86DE1"/>
    <w:rsid w:val="00DA564E"/>
    <w:rsid w:val="00DB33D3"/>
    <w:rsid w:val="00DC261B"/>
    <w:rsid w:val="00DD0F11"/>
    <w:rsid w:val="00DD4041"/>
    <w:rsid w:val="00DE3C5B"/>
    <w:rsid w:val="00DE6606"/>
    <w:rsid w:val="00E05521"/>
    <w:rsid w:val="00E172E2"/>
    <w:rsid w:val="00E21396"/>
    <w:rsid w:val="00E3605F"/>
    <w:rsid w:val="00E57685"/>
    <w:rsid w:val="00E8519B"/>
    <w:rsid w:val="00EA5564"/>
    <w:rsid w:val="00ED0825"/>
    <w:rsid w:val="00ED2B8A"/>
    <w:rsid w:val="00ED7E7E"/>
    <w:rsid w:val="00EE4B0D"/>
    <w:rsid w:val="00EF3968"/>
    <w:rsid w:val="00EF3B02"/>
    <w:rsid w:val="00F05C94"/>
    <w:rsid w:val="00F2214B"/>
    <w:rsid w:val="00F415BB"/>
    <w:rsid w:val="00F41FF0"/>
    <w:rsid w:val="00F5046D"/>
    <w:rsid w:val="00F65A1B"/>
    <w:rsid w:val="00F83998"/>
    <w:rsid w:val="00FC3617"/>
    <w:rsid w:val="00FE46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61BA0"/>
  <w15:chartTrackingRefBased/>
  <w15:docId w15:val="{95731D6A-89B4-43E0-9C63-5B8FD3ABE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9B7"/>
    <w:pPr>
      <w:spacing w:after="0" w:line="240" w:lineRule="auto"/>
    </w:pPr>
    <w:rPr>
      <w:rFonts w:ascii="Times New Roman" w:eastAsia="Times New Roman" w:hAnsi="Times New Roman" w:cs="Times New Roman"/>
      <w:kern w:val="0"/>
      <w:sz w:val="24"/>
      <w:szCs w:val="24"/>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442DE5"/>
    <w:pPr>
      <w:spacing w:before="100" w:beforeAutospacing="1" w:after="100" w:afterAutospacing="1"/>
    </w:pPr>
  </w:style>
  <w:style w:type="paragraph" w:styleId="Cabealho">
    <w:name w:val="header"/>
    <w:basedOn w:val="Normal"/>
    <w:link w:val="CabealhoChar"/>
    <w:uiPriority w:val="99"/>
    <w:unhideWhenUsed/>
    <w:rsid w:val="00442DE5"/>
    <w:pPr>
      <w:tabs>
        <w:tab w:val="center" w:pos="4252"/>
        <w:tab w:val="right" w:pos="8504"/>
      </w:tabs>
    </w:pPr>
    <w:rPr>
      <w:rFonts w:asciiTheme="minorHAnsi" w:eastAsiaTheme="minorHAnsi" w:hAnsiTheme="minorHAnsi" w:cstheme="minorBidi"/>
      <w:kern w:val="2"/>
      <w:sz w:val="22"/>
      <w:szCs w:val="22"/>
      <w:lang w:eastAsia="en-US"/>
      <w14:ligatures w14:val="standardContextual"/>
    </w:rPr>
  </w:style>
  <w:style w:type="character" w:customStyle="1" w:styleId="CabealhoChar">
    <w:name w:val="Cabeçalho Char"/>
    <w:basedOn w:val="Fontepargpadro"/>
    <w:link w:val="Cabealho"/>
    <w:uiPriority w:val="99"/>
    <w:rsid w:val="00442DE5"/>
  </w:style>
  <w:style w:type="paragraph" w:styleId="Rodap">
    <w:name w:val="footer"/>
    <w:basedOn w:val="Normal"/>
    <w:link w:val="RodapChar"/>
    <w:uiPriority w:val="99"/>
    <w:unhideWhenUsed/>
    <w:rsid w:val="00442DE5"/>
    <w:pPr>
      <w:tabs>
        <w:tab w:val="center" w:pos="4252"/>
        <w:tab w:val="right" w:pos="8504"/>
      </w:tabs>
    </w:pPr>
    <w:rPr>
      <w:rFonts w:asciiTheme="minorHAnsi" w:eastAsiaTheme="minorHAnsi" w:hAnsiTheme="minorHAnsi" w:cstheme="minorBidi"/>
      <w:kern w:val="2"/>
      <w:sz w:val="22"/>
      <w:szCs w:val="22"/>
      <w:lang w:eastAsia="en-US"/>
      <w14:ligatures w14:val="standardContextual"/>
    </w:rPr>
  </w:style>
  <w:style w:type="character" w:customStyle="1" w:styleId="RodapChar">
    <w:name w:val="Rodapé Char"/>
    <w:basedOn w:val="Fontepargpadro"/>
    <w:link w:val="Rodap"/>
    <w:uiPriority w:val="99"/>
    <w:rsid w:val="00442DE5"/>
  </w:style>
  <w:style w:type="character" w:customStyle="1" w:styleId="EstiloDeEmail20">
    <w:name w:val="EstiloDeEmail20"/>
    <w:semiHidden/>
    <w:rsid w:val="00CE79B7"/>
    <w:rPr>
      <w:rFonts w:ascii="Arial" w:hAnsi="Arial" w:cs="Arial"/>
      <w:color w:val="000080"/>
      <w:sz w:val="20"/>
      <w:szCs w:val="20"/>
    </w:rPr>
  </w:style>
  <w:style w:type="paragraph" w:customStyle="1" w:styleId="Default">
    <w:name w:val="Default"/>
    <w:rsid w:val="000E0D65"/>
    <w:pPr>
      <w:autoSpaceDE w:val="0"/>
      <w:autoSpaceDN w:val="0"/>
      <w:adjustRightInd w:val="0"/>
      <w:spacing w:after="0" w:line="240" w:lineRule="auto"/>
    </w:pPr>
    <w:rPr>
      <w:rFonts w:ascii="Bookman Old Style" w:hAnsi="Bookman Old Style" w:cs="Bookman Old Style"/>
      <w:color w:val="000000"/>
      <w:kern w:val="0"/>
      <w:sz w:val="24"/>
      <w:szCs w:val="24"/>
    </w:rPr>
  </w:style>
  <w:style w:type="table" w:styleId="Tabelacomgrade">
    <w:name w:val="Table Grid"/>
    <w:basedOn w:val="Tabelanormal"/>
    <w:uiPriority w:val="39"/>
    <w:rsid w:val="00A15E7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A15E7C"/>
    <w:rPr>
      <w:color w:val="0563C1" w:themeColor="hyperlink"/>
      <w:u w:val="single"/>
    </w:rPr>
  </w:style>
  <w:style w:type="paragraph" w:styleId="PargrafodaLista">
    <w:name w:val="List Paragraph"/>
    <w:basedOn w:val="Normal"/>
    <w:uiPriority w:val="34"/>
    <w:qFormat/>
    <w:rsid w:val="00A15E7C"/>
    <w:pPr>
      <w:ind w:left="720"/>
      <w:contextualSpacing/>
    </w:pPr>
    <w:rPr>
      <w:rFonts w:ascii="Calibri" w:eastAsiaTheme="minorHAnsi" w:hAnsi="Calibri"/>
      <w:sz w:val="22"/>
      <w:szCs w:val="22"/>
    </w:rPr>
  </w:style>
  <w:style w:type="character" w:customStyle="1" w:styleId="DefaultFontHxMailStyle">
    <w:name w:val="Default Font HxMail Style"/>
    <w:basedOn w:val="Fontepargpadro"/>
    <w:rsid w:val="00D86DE1"/>
    <w:rPr>
      <w:rFonts w:ascii="Calibri" w:hAnsi="Calibri" w:cs="Calibri" w:hint="default"/>
      <w:b w:val="0"/>
      <w:bCs w:val="0"/>
      <w:i w:val="0"/>
      <w:iCs w:val="0"/>
      <w:strike w:val="0"/>
      <w:dstrike w:val="0"/>
      <w:color w:val="002060"/>
      <w:u w:val="none"/>
      <w:effect w:val="none"/>
    </w:rPr>
  </w:style>
  <w:style w:type="character" w:styleId="MenoPendente">
    <w:name w:val="Unresolved Mention"/>
    <w:basedOn w:val="Fontepargpadro"/>
    <w:uiPriority w:val="99"/>
    <w:semiHidden/>
    <w:unhideWhenUsed/>
    <w:rsid w:val="00872743"/>
    <w:rPr>
      <w:color w:val="605E5C"/>
      <w:shd w:val="clear" w:color="auto" w:fill="E1DFDD"/>
    </w:rPr>
  </w:style>
  <w:style w:type="paragraph" w:styleId="Legenda">
    <w:name w:val="caption"/>
    <w:basedOn w:val="Normal"/>
    <w:next w:val="Normal"/>
    <w:qFormat/>
    <w:rsid w:val="00063ACE"/>
    <w:rPr>
      <w:b/>
      <w:bCs/>
      <w:sz w:val="20"/>
      <w:szCs w:val="20"/>
    </w:rPr>
  </w:style>
  <w:style w:type="paragraph" w:customStyle="1" w:styleId="plpar">
    <w:name w:val="p l_par"/>
    <w:basedOn w:val="Normal"/>
    <w:rsid w:val="00063ACE"/>
    <w:pPr>
      <w:spacing w:before="100" w:beforeAutospacing="1" w:after="100" w:afterAutospacing="1"/>
    </w:pPr>
  </w:style>
  <w:style w:type="paragraph" w:customStyle="1" w:styleId="Padro">
    <w:name w:val="Padrão"/>
    <w:rsid w:val="00132E47"/>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spacing w:after="0" w:line="240" w:lineRule="auto"/>
    </w:pPr>
    <w:rPr>
      <w:rFonts w:ascii="Microsoft YaHei" w:eastAsia="Microsoft YaHei" w:hAnsi="Times New Roman" w:cs="Microsoft YaHei"/>
      <w:color w:val="333333"/>
      <w:kern w:val="0"/>
      <w:sz w:val="48"/>
      <w:szCs w:val="48"/>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676700">
      <w:bodyDiv w:val="1"/>
      <w:marLeft w:val="0"/>
      <w:marRight w:val="0"/>
      <w:marTop w:val="0"/>
      <w:marBottom w:val="0"/>
      <w:divBdr>
        <w:top w:val="none" w:sz="0" w:space="0" w:color="auto"/>
        <w:left w:val="none" w:sz="0" w:space="0" w:color="auto"/>
        <w:bottom w:val="none" w:sz="0" w:space="0" w:color="auto"/>
        <w:right w:val="none" w:sz="0" w:space="0" w:color="auto"/>
      </w:divBdr>
    </w:div>
    <w:div w:id="107088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373</TotalTime>
  <Pages>4</Pages>
  <Words>1638</Words>
  <Characters>8851</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Wendrell</dc:creator>
  <cp:keywords/>
  <dc:description/>
  <cp:lastModifiedBy>KELSER DE SOUZA KOCK</cp:lastModifiedBy>
  <cp:revision>36</cp:revision>
  <cp:lastPrinted>2023-09-26T13:15:00Z</cp:lastPrinted>
  <dcterms:created xsi:type="dcterms:W3CDTF">2025-07-14T13:14:00Z</dcterms:created>
  <dcterms:modified xsi:type="dcterms:W3CDTF">2025-11-13T20:57:00Z</dcterms:modified>
</cp:coreProperties>
</file>