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29BFFE6" w:rsidR="006D3B66" w:rsidRPr="00E22BA0" w:rsidRDefault="00E22BA0" w:rsidP="00E22BA0">
      <w:pPr>
        <w:spacing w:before="240" w:after="240" w:line="360" w:lineRule="auto"/>
        <w:jc w:val="center"/>
        <w:rPr>
          <w:rFonts w:eastAsia="Times New Roman"/>
          <w:b/>
          <w:bCs/>
          <w:sz w:val="24"/>
          <w:szCs w:val="24"/>
        </w:rPr>
      </w:pPr>
      <w:r w:rsidRPr="00E22BA0">
        <w:rPr>
          <w:rFonts w:eastAsia="Times New Roman"/>
          <w:b/>
          <w:bCs/>
          <w:sz w:val="24"/>
          <w:szCs w:val="24"/>
        </w:rPr>
        <w:t>ANÁLISE DO GANHO COGNITIVO DA APLICAÇÃO DO JOGO EDUCACIONAL “IMUNO QUEST” NO ENSINO DE IMUNOLOGIA PARA MEDICINA</w:t>
      </w:r>
    </w:p>
    <w:p w14:paraId="00000002" w14:textId="05A25167" w:rsidR="006D3B66" w:rsidRPr="00E22BA0" w:rsidRDefault="00000000" w:rsidP="00E22BA0">
      <w:pPr>
        <w:spacing w:before="240" w:after="240" w:line="360" w:lineRule="auto"/>
        <w:jc w:val="both"/>
        <w:rPr>
          <w:rFonts w:eastAsia="Times New Roman"/>
          <w:sz w:val="24"/>
          <w:szCs w:val="24"/>
        </w:rPr>
      </w:pPr>
      <w:r w:rsidRPr="00E22BA0">
        <w:rPr>
          <w:rFonts w:eastAsia="Times New Roman"/>
          <w:sz w:val="24"/>
          <w:szCs w:val="24"/>
        </w:rPr>
        <w:t xml:space="preserve">Camilly Reis Lara¹, Clara Vitória Queiroz Marques¹, Isabelle Camolez Marcondes Pereira¹, Júlia de Campos Marques da Silva¹, Leticia Chaves Santos¹, Manuela </w:t>
      </w:r>
      <w:proofErr w:type="spellStart"/>
      <w:r w:rsidRPr="00E22BA0">
        <w:rPr>
          <w:rFonts w:eastAsia="Times New Roman"/>
          <w:sz w:val="24"/>
          <w:szCs w:val="24"/>
        </w:rPr>
        <w:t>Martelini</w:t>
      </w:r>
      <w:proofErr w:type="spellEnd"/>
      <w:r w:rsidRPr="00E22BA0">
        <w:rPr>
          <w:rFonts w:eastAsia="Times New Roman"/>
          <w:sz w:val="24"/>
          <w:szCs w:val="24"/>
        </w:rPr>
        <w:t xml:space="preserve"> Malta¹,</w:t>
      </w:r>
      <w:r w:rsidR="00E22BA0" w:rsidRPr="00E22BA0">
        <w:rPr>
          <w:rFonts w:eastAsia="Times New Roman"/>
          <w:sz w:val="24"/>
          <w:szCs w:val="24"/>
        </w:rPr>
        <w:t xml:space="preserve"> </w:t>
      </w:r>
      <w:r w:rsidRPr="00E22BA0">
        <w:rPr>
          <w:rFonts w:eastAsia="Times New Roman"/>
          <w:sz w:val="24"/>
          <w:szCs w:val="24"/>
        </w:rPr>
        <w:t xml:space="preserve">Patrícia </w:t>
      </w:r>
      <w:proofErr w:type="spellStart"/>
      <w:r w:rsidRPr="00E22BA0">
        <w:rPr>
          <w:rFonts w:eastAsia="Times New Roman"/>
          <w:sz w:val="24"/>
          <w:szCs w:val="24"/>
        </w:rPr>
        <w:t>Ucelli</w:t>
      </w:r>
      <w:proofErr w:type="spellEnd"/>
      <w:r w:rsidRPr="00E22BA0">
        <w:rPr>
          <w:rFonts w:eastAsia="Times New Roman"/>
          <w:sz w:val="24"/>
          <w:szCs w:val="24"/>
        </w:rPr>
        <w:t xml:space="preserve"> Simioni²</w:t>
      </w:r>
    </w:p>
    <w:p w14:paraId="00000003" w14:textId="77777777" w:rsidR="006D3B66" w:rsidRPr="00E22BA0" w:rsidRDefault="00000000" w:rsidP="00E22BA0">
      <w:pPr>
        <w:spacing w:before="240" w:after="240" w:line="360" w:lineRule="auto"/>
        <w:jc w:val="both"/>
        <w:rPr>
          <w:b/>
          <w:bCs/>
        </w:rPr>
      </w:pPr>
      <w:r w:rsidRPr="00E22BA0">
        <w:rPr>
          <w:rFonts w:eastAsia="Times New Roman"/>
          <w:sz w:val="24"/>
          <w:szCs w:val="24"/>
        </w:rPr>
        <w:t>¹ Curso de Medicina, Universidade Anhembi Morumbi – Campus Piracicaba, SP, Brasil</w:t>
      </w:r>
      <w:r w:rsidRPr="00E22BA0">
        <w:rPr>
          <w:rFonts w:eastAsia="Times New Roman"/>
          <w:sz w:val="24"/>
          <w:szCs w:val="24"/>
        </w:rPr>
        <w:br/>
        <w:t xml:space="preserve"> ² Docente do Curso de Medicina, Universidade Anhembi Morumbi – Campus Piracicaba, SP, Brasil</w:t>
      </w:r>
    </w:p>
    <w:p w14:paraId="00000004" w14:textId="77777777" w:rsidR="006D3B66" w:rsidRPr="00E22BA0" w:rsidRDefault="00000000" w:rsidP="00E22BA0">
      <w:pPr>
        <w:spacing w:before="240" w:after="240" w:line="360" w:lineRule="auto"/>
        <w:jc w:val="both"/>
        <w:rPr>
          <w:b/>
          <w:bCs/>
          <w:sz w:val="24"/>
          <w:szCs w:val="24"/>
        </w:rPr>
      </w:pPr>
      <w:r w:rsidRPr="00E22BA0">
        <w:rPr>
          <w:b/>
          <w:bCs/>
          <w:sz w:val="24"/>
          <w:szCs w:val="24"/>
        </w:rPr>
        <w:t>Resumo:</w:t>
      </w:r>
    </w:p>
    <w:p w14:paraId="00000005" w14:textId="77777777" w:rsidR="006D3B66" w:rsidRPr="00E22BA0" w:rsidRDefault="00000000" w:rsidP="00E22BA0">
      <w:pPr>
        <w:spacing w:before="240" w:after="240" w:line="360" w:lineRule="auto"/>
        <w:jc w:val="both"/>
        <w:rPr>
          <w:sz w:val="24"/>
          <w:szCs w:val="24"/>
        </w:rPr>
      </w:pPr>
      <w:bookmarkStart w:id="0" w:name="_Hlk213692532"/>
      <w:r w:rsidRPr="00E22BA0">
        <w:rPr>
          <w:sz w:val="24"/>
          <w:szCs w:val="24"/>
        </w:rPr>
        <w:t>A adoção de metodologias ativas e interativas tem sido amplamente utilizadas na contemporaneidade, visando otimizar a assimilação de conteúdos complexos pelos estudantes. Nesse contexto, desenvolveu-se o jogo educacional “Imuno Quest”, destinado a favorecer o aprendizado de imunologia no curso de Medicina. A ferramenta baseia-se na dinâmica de “Passar ou Responder” e foi elaborada a partir de referenciais teóricos sobre os mecanismos de imunidade inata e adaptativa. O jogo foi testado de forma preliminar com estudantes de Medicina, a fim de avaliar sua aplicabilidade e potencial pedagógico. Os resultados obtidos demonstraram boa aceitação pelos participantes, auxiliando a fixação dos conteúdos, tornando o ensino de imunologia mais dinâmico e significativo no contexto do ensino superior.</w:t>
      </w:r>
    </w:p>
    <w:bookmarkEnd w:id="0"/>
    <w:p w14:paraId="1DCA50E8" w14:textId="119D7DAA" w:rsidR="00E22BA0" w:rsidRPr="00E22BA0" w:rsidRDefault="00000000" w:rsidP="00E22BA0">
      <w:pPr>
        <w:spacing w:before="240" w:after="240" w:line="360" w:lineRule="auto"/>
        <w:jc w:val="both"/>
        <w:rPr>
          <w:sz w:val="24"/>
          <w:szCs w:val="24"/>
        </w:rPr>
      </w:pPr>
      <w:r w:rsidRPr="00E22BA0">
        <w:rPr>
          <w:sz w:val="24"/>
          <w:szCs w:val="24"/>
        </w:rPr>
        <w:t xml:space="preserve">Palavras chaves: Metodologias </w:t>
      </w:r>
      <w:r w:rsidR="00E22BA0" w:rsidRPr="00E22BA0">
        <w:rPr>
          <w:sz w:val="24"/>
          <w:szCs w:val="24"/>
        </w:rPr>
        <w:t>ativas,</w:t>
      </w:r>
      <w:r w:rsidRPr="00E22BA0">
        <w:rPr>
          <w:sz w:val="24"/>
          <w:szCs w:val="24"/>
        </w:rPr>
        <w:t xml:space="preserve"> Jogo educacional, Imunologia.</w:t>
      </w:r>
    </w:p>
    <w:p w14:paraId="0000000B" w14:textId="61EAA897" w:rsidR="006D3B66" w:rsidRDefault="00000000" w:rsidP="00E22BA0">
      <w:pPr>
        <w:spacing w:before="240" w:after="240" w:line="360" w:lineRule="auto"/>
        <w:jc w:val="both"/>
        <w:rPr>
          <w:sz w:val="24"/>
          <w:szCs w:val="24"/>
        </w:rPr>
      </w:pPr>
      <w:r w:rsidRPr="00E22BA0">
        <w:rPr>
          <w:b/>
          <w:bCs/>
          <w:sz w:val="24"/>
          <w:szCs w:val="24"/>
        </w:rPr>
        <w:t>Introdução</w:t>
      </w:r>
      <w:r w:rsidRPr="00E22BA0">
        <w:rPr>
          <w:b/>
          <w:bCs/>
          <w:sz w:val="24"/>
          <w:szCs w:val="24"/>
        </w:rPr>
        <w:br/>
      </w:r>
      <w:r w:rsidRPr="00E22BA0">
        <w:rPr>
          <w:sz w:val="24"/>
          <w:szCs w:val="24"/>
        </w:rPr>
        <w:t xml:space="preserve"> O ensino de imunologia no curso de Medicina é desafiador devido à complexidade dos conceitos e à necessidade de integrar teoria e prática clínica. Métodos tradicionais, como aulas expositivas, frequentemente resultam em aprendizado passivo e baixo engajamento. A gamificação, que utiliza elementos de jogos em contextos educacionais, tem se mostrado eficaz para aumentar motivação, estimular raciocínio crítico e favorecer a compreensão de conteúdos complexos. O presente estudo buscou avaliar o impacto do jogo educacional </w:t>
      </w:r>
      <w:r w:rsidRPr="00E22BA0">
        <w:rPr>
          <w:i/>
          <w:iCs/>
          <w:sz w:val="24"/>
          <w:szCs w:val="24"/>
        </w:rPr>
        <w:t>ImunoQuest</w:t>
      </w:r>
      <w:r w:rsidRPr="00E22BA0">
        <w:rPr>
          <w:sz w:val="24"/>
          <w:szCs w:val="24"/>
        </w:rPr>
        <w:t xml:space="preserve"> no aprendizado de </w:t>
      </w:r>
      <w:r w:rsidRPr="00E22BA0">
        <w:rPr>
          <w:sz w:val="24"/>
          <w:szCs w:val="24"/>
        </w:rPr>
        <w:lastRenderedPageBreak/>
        <w:t>imunologia humana, considerando tanto o desempenho cognitivo quanto a percepção dos estudantes.</w:t>
      </w:r>
    </w:p>
    <w:p w14:paraId="42AF6D96" w14:textId="47AA2E2A" w:rsidR="00E22BA0" w:rsidRPr="00E22BA0" w:rsidRDefault="00E22BA0" w:rsidP="00E22BA0">
      <w:pPr>
        <w:spacing w:before="240" w:after="240" w:line="360" w:lineRule="auto"/>
        <w:jc w:val="both"/>
        <w:rPr>
          <w:sz w:val="24"/>
          <w:szCs w:val="24"/>
        </w:rPr>
      </w:pPr>
      <w:r w:rsidRPr="00E22BA0">
        <w:rPr>
          <w:sz w:val="24"/>
          <w:szCs w:val="24"/>
        </w:rPr>
        <w:t xml:space="preserve">O presente estudo tem como objetivo avaliar a efetividade e a percepção dos estudantes de Medicina quanto ao uso do jogo educacional </w:t>
      </w:r>
      <w:proofErr w:type="spellStart"/>
      <w:r w:rsidRPr="00E22BA0">
        <w:rPr>
          <w:sz w:val="24"/>
          <w:szCs w:val="24"/>
        </w:rPr>
        <w:t>ImunoQuest</w:t>
      </w:r>
      <w:proofErr w:type="spellEnd"/>
      <w:r w:rsidRPr="00E22BA0">
        <w:rPr>
          <w:sz w:val="24"/>
          <w:szCs w:val="24"/>
        </w:rPr>
        <w:t xml:space="preserve"> como ferramenta de apoio ao ensino de Imunologia Humana. O recurso foi desenvolvido com a finalidade de facilitar a compreensão dos conteúdos de imunidade inata e adaptativa, tradicionalmente considerados complexos, por meio de uma abordagem lúdica, dinâmica e interativa. O foco principal deste estudo é avaliar a percepção dos alunos de Medicina e a adequação do jogo educacional inovador no ensino de Imunologia Humana, o </w:t>
      </w:r>
      <w:proofErr w:type="spellStart"/>
      <w:r w:rsidRPr="00E22BA0">
        <w:rPr>
          <w:sz w:val="24"/>
          <w:szCs w:val="24"/>
        </w:rPr>
        <w:t>ImunoQuest</w:t>
      </w:r>
      <w:proofErr w:type="spellEnd"/>
      <w:r w:rsidRPr="00E22BA0">
        <w:rPr>
          <w:sz w:val="24"/>
          <w:szCs w:val="24"/>
        </w:rPr>
        <w:t>, para análise do ganho cognitivo obtido por meio da aplicação de jogos. Além disso, busca-se verificar o potencial do jogo na promoção do aprendizado ativo, do raciocínio crítico e da participação colaborativa em sala de aula, contribuindo para o aprimoramento das metodologias de ensino no curso de Medicina.</w:t>
      </w:r>
    </w:p>
    <w:p w14:paraId="0000000C" w14:textId="509DCC74" w:rsidR="00E22BA0" w:rsidRPr="00E22BA0" w:rsidRDefault="00000000" w:rsidP="00E22BA0">
      <w:pPr>
        <w:spacing w:before="240" w:after="240" w:line="360" w:lineRule="auto"/>
        <w:jc w:val="both"/>
        <w:rPr>
          <w:sz w:val="24"/>
          <w:szCs w:val="24"/>
        </w:rPr>
      </w:pPr>
      <w:r w:rsidRPr="00E22BA0">
        <w:rPr>
          <w:b/>
          <w:bCs/>
          <w:sz w:val="24"/>
          <w:szCs w:val="24"/>
        </w:rPr>
        <w:t>Métodos</w:t>
      </w:r>
    </w:p>
    <w:p w14:paraId="0000000E" w14:textId="3C2E6EA6" w:rsidR="006D3B66" w:rsidRDefault="00E22BA0" w:rsidP="00E22BA0">
      <w:pPr>
        <w:spacing w:before="240" w:after="240" w:line="360" w:lineRule="auto"/>
        <w:jc w:val="both"/>
        <w:rPr>
          <w:sz w:val="24"/>
          <w:szCs w:val="24"/>
        </w:rPr>
      </w:pPr>
      <w:r w:rsidRPr="00E22BA0">
        <w:rPr>
          <w:sz w:val="24"/>
          <w:szCs w:val="24"/>
        </w:rPr>
        <w:t xml:space="preserve">Esta pesquisa adotou um delineamento observacional e analítico, de abordagem quantitativa, realizada entre setembro e outubro de 2025. Seu propósito foi investigar os efeitos cognitivos e perceptivos da aplicação do jogo educacional </w:t>
      </w:r>
      <w:proofErr w:type="spellStart"/>
      <w:r w:rsidRPr="00E22BA0">
        <w:rPr>
          <w:sz w:val="24"/>
          <w:szCs w:val="24"/>
        </w:rPr>
        <w:t>ImunoQuest</w:t>
      </w:r>
      <w:proofErr w:type="spellEnd"/>
      <w:r w:rsidRPr="00E22BA0">
        <w:rPr>
          <w:sz w:val="24"/>
          <w:szCs w:val="24"/>
        </w:rPr>
        <w:t xml:space="preserve"> no processo de aprendizado em imunologia humana entre estudantes de Medicina. O estudo foi conduzido com alunos regularmente matriculados no segundo ano do curso de Medicina da Universidade Anhembi Morumbi, campus Piracicaba (SP). Todas as etapas seguiram as normas éticas previstas na Resolução nº 466/2012 do Conselho Nacional de Saúde, com aprovação do Comitê de Ética em Pesquisa (CAAE: 79763724.2.0000.5492). A participação foi voluntária e condicionada à assinatura do Termo de Consentimento Livre e Esclarecido (TCLE).</w:t>
      </w:r>
    </w:p>
    <w:p w14:paraId="6B780566" w14:textId="77777777" w:rsidR="00E22BA0" w:rsidRPr="00E22BA0" w:rsidRDefault="00E22BA0" w:rsidP="00E22BA0">
      <w:pPr>
        <w:spacing w:before="240" w:after="240" w:line="360" w:lineRule="auto"/>
        <w:jc w:val="both"/>
        <w:rPr>
          <w:sz w:val="24"/>
          <w:szCs w:val="24"/>
        </w:rPr>
      </w:pPr>
      <w:r w:rsidRPr="00E22BA0">
        <w:rPr>
          <w:sz w:val="24"/>
          <w:szCs w:val="24"/>
        </w:rPr>
        <w:t xml:space="preserve">A amostra foi composta por 86 estudantes, divididos em duas turmas: A (n = 41) e B (n = 45). A intervenção ocorreu após o término da abordagem teórica sobre imunidade inata e adaptativa, em ambiente supervisionado por docentes e monitores treinados previamente. Cada sessão teve duração aproximada de 90 minutos. Os participantes foram organizados em grupos de quatro a seis integrantes e receberam, com uma </w:t>
      </w:r>
      <w:r w:rsidRPr="00E22BA0">
        <w:rPr>
          <w:sz w:val="24"/>
          <w:szCs w:val="24"/>
        </w:rPr>
        <w:lastRenderedPageBreak/>
        <w:t>semana de antecedência, um material preparatório contendo os principais conceitos teóricos relacionados ao conteúdo do jogo.</w:t>
      </w:r>
    </w:p>
    <w:p w14:paraId="285E4C06" w14:textId="5C34C959" w:rsidR="00E22BA0" w:rsidRDefault="00E22BA0" w:rsidP="00E22BA0">
      <w:pPr>
        <w:spacing w:before="240" w:after="240" w:line="360" w:lineRule="auto"/>
        <w:jc w:val="both"/>
        <w:rPr>
          <w:sz w:val="24"/>
          <w:szCs w:val="24"/>
        </w:rPr>
      </w:pPr>
      <w:r w:rsidRPr="00E22BA0">
        <w:rPr>
          <w:sz w:val="24"/>
          <w:szCs w:val="24"/>
        </w:rPr>
        <w:t xml:space="preserve">O </w:t>
      </w:r>
      <w:proofErr w:type="spellStart"/>
      <w:r w:rsidRPr="00E22BA0">
        <w:rPr>
          <w:sz w:val="24"/>
          <w:szCs w:val="24"/>
        </w:rPr>
        <w:t>ImunoQuest</w:t>
      </w:r>
      <w:proofErr w:type="spellEnd"/>
      <w:r w:rsidRPr="00E22BA0">
        <w:rPr>
          <w:sz w:val="24"/>
          <w:szCs w:val="24"/>
        </w:rPr>
        <w:t xml:space="preserve"> foi desenvolvido com base em princípios de gamificação educacional descritos por </w:t>
      </w:r>
      <w:proofErr w:type="spellStart"/>
      <w:r w:rsidRPr="00E22BA0">
        <w:rPr>
          <w:sz w:val="24"/>
          <w:szCs w:val="24"/>
        </w:rPr>
        <w:t>Landers</w:t>
      </w:r>
      <w:proofErr w:type="spellEnd"/>
      <w:r w:rsidRPr="00E22BA0">
        <w:rPr>
          <w:sz w:val="24"/>
          <w:szCs w:val="24"/>
        </w:rPr>
        <w:t xml:space="preserve">, Aziz e Reed (2023) e Fitz-Walter, </w:t>
      </w:r>
      <w:proofErr w:type="spellStart"/>
      <w:r w:rsidRPr="00E22BA0">
        <w:rPr>
          <w:sz w:val="24"/>
          <w:szCs w:val="24"/>
        </w:rPr>
        <w:t>Tjondronegoro</w:t>
      </w:r>
      <w:proofErr w:type="spellEnd"/>
      <w:r w:rsidRPr="00E22BA0">
        <w:rPr>
          <w:sz w:val="24"/>
          <w:szCs w:val="24"/>
        </w:rPr>
        <w:t xml:space="preserve"> e Wyeth (2019). A proposta incorporou elementos de competição, cooperação, pontuação e desafios clínicos simulados. O jogo utiliza cartas que representam componentes do sistema imune, agentes patogênicos e situações-problema, permitindo que os estudantes exercitem o raciocínio clínico e fisiopatológico em tempo real. O objetivo central da atividade foi estimular a aplicação prática dos conteúdos teóricos e promover uma aprendizagem ativa e colaborativa.</w:t>
      </w:r>
    </w:p>
    <w:p w14:paraId="0BE616E6" w14:textId="77777777" w:rsidR="00E22BA0" w:rsidRPr="00E22BA0" w:rsidRDefault="00E22BA0" w:rsidP="00E22BA0">
      <w:pPr>
        <w:spacing w:before="240" w:after="240" w:line="360" w:lineRule="auto"/>
        <w:jc w:val="both"/>
        <w:rPr>
          <w:sz w:val="24"/>
          <w:szCs w:val="24"/>
        </w:rPr>
      </w:pPr>
      <w:r w:rsidRPr="00E22BA0">
        <w:rPr>
          <w:sz w:val="24"/>
          <w:szCs w:val="24"/>
        </w:rPr>
        <w:t xml:space="preserve">A avaliação cognitiva foi realizada por meio de dois testes objetivos de múltipla escolha — um aplicado antes e outro logo após a intervenção. As questões abordavam tópicos fundamentais da disciplina, como imunidade inata e adaptativa, reconhecimento antigênico, resposta inflamatória e memória imunológica. Os instrumentos foram elaborados com base nos objetivos de aprendizagem da disciplina e revisados por docentes especialistas, atendendo aos critérios de clareza, relevância e coerência indicados por </w:t>
      </w:r>
      <w:proofErr w:type="spellStart"/>
      <w:r w:rsidRPr="00E22BA0">
        <w:rPr>
          <w:sz w:val="24"/>
          <w:szCs w:val="24"/>
        </w:rPr>
        <w:t>Konopka</w:t>
      </w:r>
      <w:proofErr w:type="spellEnd"/>
      <w:r w:rsidRPr="00E22BA0">
        <w:rPr>
          <w:sz w:val="24"/>
          <w:szCs w:val="24"/>
        </w:rPr>
        <w:t xml:space="preserve">, </w:t>
      </w:r>
      <w:proofErr w:type="spellStart"/>
      <w:r w:rsidRPr="00E22BA0">
        <w:rPr>
          <w:sz w:val="24"/>
          <w:szCs w:val="24"/>
        </w:rPr>
        <w:t>Lammers</w:t>
      </w:r>
      <w:proofErr w:type="spellEnd"/>
      <w:r w:rsidRPr="00E22BA0">
        <w:rPr>
          <w:sz w:val="24"/>
          <w:szCs w:val="24"/>
        </w:rPr>
        <w:t xml:space="preserve"> e Phelps (2020).</w:t>
      </w:r>
    </w:p>
    <w:p w14:paraId="1EB0E477" w14:textId="77777777" w:rsidR="00E22BA0" w:rsidRPr="00E22BA0" w:rsidRDefault="00E22BA0" w:rsidP="00E22BA0">
      <w:pPr>
        <w:spacing w:before="240" w:after="240" w:line="360" w:lineRule="auto"/>
        <w:jc w:val="both"/>
        <w:rPr>
          <w:sz w:val="24"/>
          <w:szCs w:val="24"/>
        </w:rPr>
      </w:pPr>
      <w:r w:rsidRPr="00E22BA0">
        <w:rPr>
          <w:sz w:val="24"/>
          <w:szCs w:val="24"/>
        </w:rPr>
        <w:t xml:space="preserve">Os resultados dos testes foram expressos em percentuais, com cálculo de médias e desvios-padrão (DP) para cada turma. As diferenças entre os desempenhos </w:t>
      </w:r>
      <w:proofErr w:type="spellStart"/>
      <w:r w:rsidRPr="00E22BA0">
        <w:rPr>
          <w:sz w:val="24"/>
          <w:szCs w:val="24"/>
        </w:rPr>
        <w:t>pré</w:t>
      </w:r>
      <w:proofErr w:type="spellEnd"/>
      <w:r w:rsidRPr="00E22BA0">
        <w:rPr>
          <w:sz w:val="24"/>
          <w:szCs w:val="24"/>
        </w:rPr>
        <w:t xml:space="preserve"> e pós-intervenção foram analisadas pelo teste t pareado, considerando significância estatística de 5% (p &lt; 0,05). O tamanho do efeito foi determinado pelo índice d de Cohen, de acordo com os parâmetros propostos por Sailer et al. (2017), a fim de mensurar a magnitude pedagógica da intervenção. Todas as análises foram baseadas em dados originais obtidos nas turmas participantes, aplicando a fórmula amostral padrão para o cálculo do desvio-padrão.</w:t>
      </w:r>
    </w:p>
    <w:p w14:paraId="2C2323EF" w14:textId="4B8F32F3" w:rsidR="00E22BA0" w:rsidRDefault="00E22BA0" w:rsidP="00E22BA0">
      <w:pPr>
        <w:spacing w:before="240" w:after="240" w:line="360" w:lineRule="auto"/>
        <w:jc w:val="both"/>
        <w:rPr>
          <w:sz w:val="24"/>
          <w:szCs w:val="24"/>
        </w:rPr>
      </w:pPr>
      <w:r w:rsidRPr="00E22BA0">
        <w:rPr>
          <w:sz w:val="24"/>
          <w:szCs w:val="24"/>
        </w:rPr>
        <w:t xml:space="preserve">Além da mensuração cognitiva, aplicou-se um questionário de percepção discente estruturado em escala </w:t>
      </w:r>
      <w:proofErr w:type="spellStart"/>
      <w:r w:rsidRPr="00E22BA0">
        <w:rPr>
          <w:sz w:val="24"/>
          <w:szCs w:val="24"/>
        </w:rPr>
        <w:t>Likert</w:t>
      </w:r>
      <w:proofErr w:type="spellEnd"/>
      <w:r w:rsidRPr="00E22BA0">
        <w:rPr>
          <w:sz w:val="24"/>
          <w:szCs w:val="24"/>
        </w:rPr>
        <w:t xml:space="preserve"> de cinco pontos (1 = discordo totalmente; 5 = concordo totalmente). As dimensões avaliadas contemplaram clareza dos conceitos, aplicabilidade prática do conteúdo, engajamento, motivação e interação em grupo. A consistência interna do instrumento foi verificada pelo coeficiente alfa de </w:t>
      </w:r>
      <w:proofErr w:type="spellStart"/>
      <w:r w:rsidRPr="00E22BA0">
        <w:rPr>
          <w:sz w:val="24"/>
          <w:szCs w:val="24"/>
        </w:rPr>
        <w:t>Cronbach</w:t>
      </w:r>
      <w:proofErr w:type="spellEnd"/>
      <w:r w:rsidRPr="00E22BA0">
        <w:rPr>
          <w:sz w:val="24"/>
          <w:szCs w:val="24"/>
        </w:rPr>
        <w:t xml:space="preserve">, adotando-se valores iguais ou superiores a 0,70 como satisfatórios, conforme Van </w:t>
      </w:r>
      <w:proofErr w:type="spellStart"/>
      <w:r w:rsidRPr="00E22BA0">
        <w:rPr>
          <w:sz w:val="24"/>
          <w:szCs w:val="24"/>
        </w:rPr>
        <w:lastRenderedPageBreak/>
        <w:t>Nuland</w:t>
      </w:r>
      <w:proofErr w:type="spellEnd"/>
      <w:r w:rsidRPr="00E22BA0">
        <w:rPr>
          <w:sz w:val="24"/>
          <w:szCs w:val="24"/>
        </w:rPr>
        <w:t xml:space="preserve"> et al. (2020). As respostas foram tratadas por meio de frequências relativas, médias e desvios-padrão, complementadas por representações tabulares.</w:t>
      </w:r>
    </w:p>
    <w:p w14:paraId="1B41F47C" w14:textId="77777777" w:rsidR="00E22BA0" w:rsidRDefault="00000000" w:rsidP="00E22BA0">
      <w:pPr>
        <w:spacing w:before="240" w:after="240" w:line="360" w:lineRule="auto"/>
        <w:jc w:val="both"/>
        <w:rPr>
          <w:b/>
          <w:bCs/>
          <w:sz w:val="24"/>
          <w:szCs w:val="24"/>
        </w:rPr>
      </w:pPr>
      <w:r w:rsidRPr="00E22BA0">
        <w:rPr>
          <w:b/>
          <w:bCs/>
          <w:sz w:val="24"/>
          <w:szCs w:val="24"/>
        </w:rPr>
        <w:t>Resultados e Discussã</w:t>
      </w:r>
      <w:r w:rsidR="00E22BA0">
        <w:rPr>
          <w:b/>
          <w:bCs/>
          <w:sz w:val="24"/>
          <w:szCs w:val="24"/>
        </w:rPr>
        <w:t>o</w:t>
      </w:r>
    </w:p>
    <w:p w14:paraId="0000000F" w14:textId="24A9A594" w:rsidR="006D3B66" w:rsidRPr="00E22BA0" w:rsidRDefault="00000000" w:rsidP="00E22BA0">
      <w:pPr>
        <w:spacing w:before="240" w:after="240" w:line="360" w:lineRule="auto"/>
        <w:jc w:val="both"/>
        <w:rPr>
          <w:b/>
          <w:bCs/>
          <w:sz w:val="24"/>
          <w:szCs w:val="24"/>
        </w:rPr>
      </w:pPr>
      <w:r w:rsidRPr="00E22BA0">
        <w:rPr>
          <w:sz w:val="24"/>
          <w:szCs w:val="24"/>
        </w:rPr>
        <w:t xml:space="preserve">Após a aplicação do </w:t>
      </w:r>
      <w:proofErr w:type="spellStart"/>
      <w:r w:rsidRPr="00E22BA0">
        <w:rPr>
          <w:i/>
          <w:iCs/>
          <w:sz w:val="24"/>
          <w:szCs w:val="24"/>
        </w:rPr>
        <w:t>ImunoQuest</w:t>
      </w:r>
      <w:proofErr w:type="spellEnd"/>
      <w:r w:rsidRPr="00E22BA0">
        <w:rPr>
          <w:sz w:val="24"/>
          <w:szCs w:val="24"/>
        </w:rPr>
        <w:t>, observou-se aumento médio global de 5,26 pontos percentuais no desempenho cognitivo, com efeito moderado (d = 0,36). A redução dos desvios-padrão indicou maior homogeneidade do aprendizado entre os estudantes.</w:t>
      </w:r>
    </w:p>
    <w:p w14:paraId="00000010" w14:textId="77777777" w:rsidR="006D3B66" w:rsidRPr="00E22BA0" w:rsidRDefault="00000000" w:rsidP="00E22BA0">
      <w:pPr>
        <w:spacing w:before="240" w:after="240" w:line="360" w:lineRule="auto"/>
        <w:jc w:val="both"/>
        <w:rPr>
          <w:sz w:val="24"/>
          <w:szCs w:val="24"/>
        </w:rPr>
      </w:pPr>
      <w:r w:rsidRPr="00E22BA0">
        <w:rPr>
          <w:sz w:val="24"/>
          <w:szCs w:val="24"/>
        </w:rPr>
        <w:t>Em relação à percepção, 81,5% dos alunos relataram que o jogo facilitou a compreensão dos conceitos, 73,1% indicaram aumento da motivação e 92,7% recomendariam a atividade a outras turmas. Os achados sugerem que a gamificação promove tanto ganhos cognitivos quanto afetivo-motivacionais, reforçando a integração entre teoria e prática.</w:t>
      </w:r>
    </w:p>
    <w:p w14:paraId="00000011" w14:textId="77777777" w:rsidR="006D3B66" w:rsidRPr="00E22BA0" w:rsidRDefault="00000000" w:rsidP="00E22BA0">
      <w:pPr>
        <w:spacing w:before="240" w:after="240" w:line="360" w:lineRule="auto"/>
        <w:jc w:val="both"/>
        <w:rPr>
          <w:sz w:val="24"/>
          <w:szCs w:val="24"/>
        </w:rPr>
      </w:pPr>
      <w:r w:rsidRPr="00E22BA0">
        <w:rPr>
          <w:sz w:val="24"/>
          <w:szCs w:val="24"/>
        </w:rPr>
        <w:t>Esses resultados estão de acordo com a literatura, que aponta que jogos educativos estimulam retenção de conhecimento, engajamento e aprendizagem significativa em disciplinas complexas. O efeito nivelador observado é consistente com estudos que destacam a gamificação como estratégia inclusiva e colaborativa, permitindo que alunos com diferentes estilos de aprendizagem alcancem resultados semelhantes.</w:t>
      </w:r>
    </w:p>
    <w:p w14:paraId="00000013" w14:textId="77777777" w:rsidR="006D3B66" w:rsidRPr="00E22BA0" w:rsidRDefault="00000000" w:rsidP="00E22BA0">
      <w:pPr>
        <w:spacing w:before="240" w:after="240" w:line="360" w:lineRule="auto"/>
        <w:jc w:val="both"/>
        <w:rPr>
          <w:sz w:val="24"/>
          <w:szCs w:val="24"/>
        </w:rPr>
      </w:pPr>
      <w:r w:rsidRPr="00E22BA0">
        <w:rPr>
          <w:b/>
          <w:bCs/>
          <w:sz w:val="24"/>
          <w:szCs w:val="24"/>
        </w:rPr>
        <w:t>Conclusão</w:t>
      </w:r>
      <w:r w:rsidRPr="00E22BA0">
        <w:rPr>
          <w:b/>
          <w:bCs/>
          <w:sz w:val="24"/>
          <w:szCs w:val="24"/>
        </w:rPr>
        <w:br/>
      </w:r>
      <w:r w:rsidRPr="00E22BA0">
        <w:rPr>
          <w:sz w:val="24"/>
          <w:szCs w:val="24"/>
        </w:rPr>
        <w:t xml:space="preserve"> O </w:t>
      </w:r>
      <w:proofErr w:type="spellStart"/>
      <w:r w:rsidRPr="00E22BA0">
        <w:rPr>
          <w:i/>
          <w:iCs/>
          <w:sz w:val="24"/>
          <w:szCs w:val="24"/>
        </w:rPr>
        <w:t>ImunoQuest</w:t>
      </w:r>
      <w:proofErr w:type="spellEnd"/>
      <w:r w:rsidRPr="00E22BA0">
        <w:rPr>
          <w:sz w:val="24"/>
          <w:szCs w:val="24"/>
        </w:rPr>
        <w:t xml:space="preserve"> demonstrou ser eficaz no ensino de imunologia, promovendo ganhos cognitivos, motivacionais e colaborativos. A intervenção aumentou o desempenho acadêmico, favoreceu a homogeneização do aprendizado e gerou alto engajamento discente. Apesar de limitações, como amostra restrita e ausência de grupo controle, os resultados indicam que a gamificação é uma estratégia inovadora e aplicável ao currículo médico, podendo ser expandida para estudos longitudinais e ambientes digitais.</w:t>
      </w:r>
    </w:p>
    <w:p w14:paraId="00000018" w14:textId="77777777" w:rsidR="006D3B66" w:rsidRPr="00E22BA0" w:rsidRDefault="00000000" w:rsidP="00E22BA0">
      <w:pPr>
        <w:spacing w:before="240" w:after="240" w:line="360" w:lineRule="auto"/>
        <w:jc w:val="both"/>
        <w:rPr>
          <w:b/>
          <w:bCs/>
          <w:sz w:val="24"/>
          <w:szCs w:val="24"/>
        </w:rPr>
      </w:pPr>
      <w:r w:rsidRPr="00E22BA0">
        <w:rPr>
          <w:b/>
          <w:bCs/>
          <w:sz w:val="24"/>
          <w:szCs w:val="24"/>
        </w:rPr>
        <w:t xml:space="preserve">Referências </w:t>
      </w:r>
    </w:p>
    <w:p w14:paraId="00000019" w14:textId="77777777" w:rsidR="006D3B66" w:rsidRPr="00E22BA0" w:rsidRDefault="00000000" w:rsidP="00E22BA0">
      <w:pPr>
        <w:spacing w:before="240" w:after="240" w:line="360" w:lineRule="auto"/>
        <w:jc w:val="both"/>
        <w:rPr>
          <w:sz w:val="24"/>
          <w:szCs w:val="24"/>
        </w:rPr>
      </w:pPr>
      <w:r w:rsidRPr="00E22BA0">
        <w:rPr>
          <w:sz w:val="24"/>
          <w:szCs w:val="24"/>
        </w:rPr>
        <w:t xml:space="preserve">CHENG, A.; KOLBE, M.; GRANT, V. Using gamification to enhance learning in medical education: a systematic review. </w:t>
      </w:r>
      <w:r w:rsidRPr="00E22BA0">
        <w:rPr>
          <w:i/>
          <w:iCs/>
          <w:sz w:val="24"/>
          <w:szCs w:val="24"/>
        </w:rPr>
        <w:t>Medical Education</w:t>
      </w:r>
      <w:r w:rsidRPr="00E22BA0">
        <w:rPr>
          <w:sz w:val="24"/>
          <w:szCs w:val="24"/>
        </w:rPr>
        <w:t>, v. 55, n. 5, p. 123–134, 2021.</w:t>
      </w:r>
    </w:p>
    <w:p w14:paraId="0000001A" w14:textId="77777777" w:rsidR="006D3B66" w:rsidRPr="00E22BA0" w:rsidRDefault="00000000" w:rsidP="00E22BA0">
      <w:pPr>
        <w:spacing w:before="240" w:after="240" w:line="360" w:lineRule="auto"/>
        <w:jc w:val="both"/>
        <w:rPr>
          <w:sz w:val="24"/>
          <w:szCs w:val="24"/>
        </w:rPr>
      </w:pPr>
      <w:r w:rsidRPr="00E22BA0">
        <w:rPr>
          <w:sz w:val="24"/>
          <w:szCs w:val="24"/>
        </w:rPr>
        <w:lastRenderedPageBreak/>
        <w:t xml:space="preserve">DE FREITAS, S.; MORGAN, J.; GIBSON, D. </w:t>
      </w:r>
      <w:r w:rsidRPr="00E22BA0">
        <w:rPr>
          <w:i/>
          <w:iCs/>
          <w:sz w:val="24"/>
          <w:szCs w:val="24"/>
        </w:rPr>
        <w:t xml:space="preserve">Learning, </w:t>
      </w:r>
      <w:proofErr w:type="gramStart"/>
      <w:r w:rsidRPr="00E22BA0">
        <w:rPr>
          <w:i/>
          <w:iCs/>
          <w:sz w:val="24"/>
          <w:szCs w:val="24"/>
        </w:rPr>
        <w:t>media</w:t>
      </w:r>
      <w:proofErr w:type="gramEnd"/>
      <w:r w:rsidRPr="00E22BA0">
        <w:rPr>
          <w:i/>
          <w:iCs/>
          <w:sz w:val="24"/>
          <w:szCs w:val="24"/>
        </w:rPr>
        <w:t xml:space="preserve"> and technology: the role of affect in gamified learning environments</w:t>
      </w:r>
      <w:r w:rsidRPr="00E22BA0">
        <w:rPr>
          <w:sz w:val="24"/>
          <w:szCs w:val="24"/>
        </w:rPr>
        <w:t>. London: Routledge, 2018.</w:t>
      </w:r>
    </w:p>
    <w:p w14:paraId="0000001B" w14:textId="77777777" w:rsidR="006D3B66" w:rsidRPr="00E22BA0" w:rsidRDefault="00000000" w:rsidP="00E22BA0">
      <w:pPr>
        <w:spacing w:before="240" w:after="240" w:line="360" w:lineRule="auto"/>
        <w:jc w:val="both"/>
        <w:rPr>
          <w:sz w:val="24"/>
          <w:szCs w:val="24"/>
        </w:rPr>
      </w:pPr>
      <w:r w:rsidRPr="00E22BA0">
        <w:rPr>
          <w:sz w:val="24"/>
          <w:szCs w:val="24"/>
        </w:rPr>
        <w:t xml:space="preserve">LANDERS, R. N.; et al. Gamification science: theoretical foundations and applications in education. </w:t>
      </w:r>
      <w:r w:rsidRPr="00E22BA0">
        <w:rPr>
          <w:i/>
          <w:iCs/>
          <w:sz w:val="24"/>
          <w:szCs w:val="24"/>
        </w:rPr>
        <w:t>Computers &amp; Education</w:t>
      </w:r>
      <w:r w:rsidRPr="00E22BA0">
        <w:rPr>
          <w:sz w:val="24"/>
          <w:szCs w:val="24"/>
        </w:rPr>
        <w:t>, v. 173, p. 104-234, 2023.</w:t>
      </w:r>
    </w:p>
    <w:p w14:paraId="0000001C" w14:textId="77777777" w:rsidR="006D3B66" w:rsidRPr="00E22BA0" w:rsidRDefault="00000000" w:rsidP="00E22BA0">
      <w:pPr>
        <w:spacing w:before="240" w:after="240" w:line="360" w:lineRule="auto"/>
        <w:jc w:val="both"/>
        <w:rPr>
          <w:sz w:val="24"/>
          <w:szCs w:val="24"/>
        </w:rPr>
      </w:pPr>
      <w:r w:rsidRPr="00E22BA0">
        <w:rPr>
          <w:sz w:val="24"/>
          <w:szCs w:val="24"/>
        </w:rPr>
        <w:t xml:space="preserve">MARCONDES, L.; CARDOZO, P.; AZEVEDO, A. Gamification and active learning in health sciences: effects on motivation and academic performance. </w:t>
      </w:r>
      <w:r w:rsidRPr="00E22BA0">
        <w:rPr>
          <w:i/>
          <w:iCs/>
          <w:sz w:val="24"/>
          <w:szCs w:val="24"/>
        </w:rPr>
        <w:t>Revista Brasileira de Educação Médica</w:t>
      </w:r>
      <w:r w:rsidRPr="00E22BA0">
        <w:rPr>
          <w:sz w:val="24"/>
          <w:szCs w:val="24"/>
        </w:rPr>
        <w:t>, v. 45, n. 1, p. 1–10, 2021.</w:t>
      </w:r>
    </w:p>
    <w:p w14:paraId="0000001D" w14:textId="77777777" w:rsidR="006D3B66" w:rsidRPr="00E22BA0" w:rsidRDefault="00000000" w:rsidP="00E22BA0">
      <w:pPr>
        <w:spacing w:before="240" w:after="240" w:line="360" w:lineRule="auto"/>
        <w:jc w:val="both"/>
        <w:rPr>
          <w:sz w:val="24"/>
          <w:szCs w:val="24"/>
        </w:rPr>
      </w:pPr>
      <w:r w:rsidRPr="00E22BA0">
        <w:rPr>
          <w:sz w:val="24"/>
          <w:szCs w:val="24"/>
        </w:rPr>
        <w:t xml:space="preserve">VAN NULAND, S.; et al. Gamification in medical education: a systematic review. </w:t>
      </w:r>
      <w:r w:rsidRPr="00E22BA0">
        <w:rPr>
          <w:i/>
          <w:iCs/>
          <w:sz w:val="24"/>
          <w:szCs w:val="24"/>
        </w:rPr>
        <w:t>BMC Medical Education</w:t>
      </w:r>
      <w:r w:rsidRPr="00E22BA0">
        <w:rPr>
          <w:sz w:val="24"/>
          <w:szCs w:val="24"/>
        </w:rPr>
        <w:t>, v. 20, n. 1, p. 1–11, 2020.</w:t>
      </w:r>
    </w:p>
    <w:p w14:paraId="0000001E" w14:textId="77777777" w:rsidR="006D3B66" w:rsidRPr="00E22BA0" w:rsidRDefault="006D3B66" w:rsidP="00E22BA0">
      <w:pPr>
        <w:spacing w:before="240" w:after="240" w:line="360" w:lineRule="auto"/>
        <w:jc w:val="both"/>
        <w:rPr>
          <w:b/>
          <w:bCs/>
          <w:sz w:val="24"/>
          <w:szCs w:val="24"/>
        </w:rPr>
      </w:pPr>
    </w:p>
    <w:p w14:paraId="00000023" w14:textId="77777777" w:rsidR="006D3B66" w:rsidRPr="00E22BA0" w:rsidRDefault="006D3B66" w:rsidP="00E22BA0">
      <w:pPr>
        <w:spacing w:line="360" w:lineRule="auto"/>
      </w:pPr>
    </w:p>
    <w:sectPr w:rsidR="006D3B66" w:rsidRPr="00E22BA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C108405-2319-4B05-81D3-A0E1D482A656}"/>
  </w:font>
  <w:font w:name="Cambria">
    <w:panose1 w:val="02040503050406030204"/>
    <w:charset w:val="00"/>
    <w:family w:val="roman"/>
    <w:pitch w:val="variable"/>
    <w:sig w:usb0="E00006FF" w:usb1="420024FF" w:usb2="02000000" w:usb3="00000000" w:csb0="0000019F" w:csb1="00000000"/>
    <w:embedRegular r:id="rId2" w:fontKey="{11CC5AA5-C459-42E0-83A8-23B6BCDFA9A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B66"/>
    <w:rsid w:val="000169DC"/>
    <w:rsid w:val="006D3B66"/>
    <w:rsid w:val="00E22BA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28527"/>
  <w15:docId w15:val="{30A10341-1141-449A-A7F7-269837A3E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53417-2ED0-47EA-8F30-D65FFC295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1270</Words>
  <Characters>7672</Characters>
  <Application>Microsoft Office Word</Application>
  <DocSecurity>0</DocSecurity>
  <Lines>153</Lines>
  <Paragraphs>37</Paragraphs>
  <ScaleCrop>false</ScaleCrop>
  <Company/>
  <LinksUpToDate>false</LinksUpToDate>
  <CharactersWithSpaces>8905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Camilly Reis</dc:creator>
  <cp:lastModifiedBy>Camilly Reis Lara</cp:lastModifiedBy>
  <cp:revision>2</cp:revision>
  <dcterms:created xsi:type="dcterms:W3CDTF">2025-11-10T21:49:00Z</dcterms:created>
  <dcterms:modified xsi:type="dcterms:W3CDTF">2025-11-10T21:49:00Z</dcterms:modified>
</cp:coreProperties>
</file>