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4B085" w14:textId="70F64378" w:rsidR="00857D2A" w:rsidRDefault="00B709AE" w:rsidP="00857D2A">
      <w:r>
        <w:rPr>
          <w:noProof/>
          <w:lang w:eastAsia="pt-BR"/>
        </w:rPr>
        <w:drawing>
          <wp:anchor distT="0" distB="0" distL="114300" distR="114300" simplePos="0" relativeHeight="251658240" behindDoc="0" locked="0" layoutInCell="1" allowOverlap="1" wp14:anchorId="01C0F113" wp14:editId="622A613F">
            <wp:simplePos x="0" y="0"/>
            <wp:positionH relativeFrom="column">
              <wp:posOffset>1870075</wp:posOffset>
            </wp:positionH>
            <wp:positionV relativeFrom="paragraph">
              <wp:posOffset>-516255</wp:posOffset>
            </wp:positionV>
            <wp:extent cx="2171700" cy="699770"/>
            <wp:effectExtent l="0" t="0" r="0" b="508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png"/>
                    <pic:cNvPicPr/>
                  </pic:nvPicPr>
                  <pic:blipFill>
                    <a:blip r:embed="rId9">
                      <a:extLst>
                        <a:ext uri="{28A0092B-C50C-407E-A947-70E740481C1C}">
                          <a14:useLocalDpi xmlns:a14="http://schemas.microsoft.com/office/drawing/2010/main" val="0"/>
                        </a:ext>
                      </a:extLst>
                    </a:blip>
                    <a:stretch>
                      <a:fillRect/>
                    </a:stretch>
                  </pic:blipFill>
                  <pic:spPr>
                    <a:xfrm>
                      <a:off x="0" y="0"/>
                      <a:ext cx="2171700" cy="699770"/>
                    </a:xfrm>
                    <a:prstGeom prst="rect">
                      <a:avLst/>
                    </a:prstGeom>
                  </pic:spPr>
                </pic:pic>
              </a:graphicData>
            </a:graphic>
            <wp14:sizeRelH relativeFrom="page">
              <wp14:pctWidth>0</wp14:pctWidth>
            </wp14:sizeRelH>
            <wp14:sizeRelV relativeFrom="page">
              <wp14:pctHeight>0</wp14:pctHeight>
            </wp14:sizeRelV>
          </wp:anchor>
        </w:drawing>
      </w:r>
    </w:p>
    <w:p w14:paraId="7DB67183" w14:textId="77777777" w:rsidR="003A6F7C" w:rsidRPr="00D127C6" w:rsidRDefault="003A6F7C" w:rsidP="00857D2A"/>
    <w:p w14:paraId="64B5EFE2" w14:textId="5F7B0E40" w:rsidR="00857D2A" w:rsidRPr="00D127C6" w:rsidRDefault="00857D2A" w:rsidP="0006119F">
      <w:pPr>
        <w:tabs>
          <w:tab w:val="left" w:pos="7710"/>
        </w:tabs>
        <w:jc w:val="center"/>
        <w:rPr>
          <w:rFonts w:ascii="Arial" w:hAnsi="Arial" w:cs="Arial"/>
          <w:sz w:val="24"/>
          <w:szCs w:val="24"/>
        </w:rPr>
      </w:pPr>
      <w:r w:rsidRPr="00D127C6">
        <w:rPr>
          <w:rFonts w:ascii="Arial" w:hAnsi="Arial" w:cs="Arial"/>
          <w:sz w:val="24"/>
          <w:szCs w:val="24"/>
        </w:rPr>
        <w:t>Curso de Graduação em Direito</w:t>
      </w:r>
      <w:r w:rsidR="0006119F" w:rsidRPr="00D127C6">
        <w:rPr>
          <w:rFonts w:ascii="Arial" w:hAnsi="Arial" w:cs="Arial"/>
          <w:sz w:val="24"/>
          <w:szCs w:val="24"/>
        </w:rPr>
        <w:t xml:space="preserve"> </w:t>
      </w:r>
      <w:r w:rsidR="00B709AE">
        <w:rPr>
          <w:rFonts w:ascii="Arial" w:hAnsi="Arial" w:cs="Arial"/>
          <w:sz w:val="24"/>
          <w:szCs w:val="24"/>
        </w:rPr>
        <w:t xml:space="preserve">- </w:t>
      </w:r>
      <w:r w:rsidR="0006119F" w:rsidRPr="00D127C6">
        <w:rPr>
          <w:rFonts w:ascii="Arial" w:hAnsi="Arial" w:cs="Arial"/>
          <w:sz w:val="24"/>
          <w:szCs w:val="24"/>
        </w:rPr>
        <w:t xml:space="preserve">Centro Universitário </w:t>
      </w:r>
      <w:r w:rsidR="00B709AE">
        <w:rPr>
          <w:rFonts w:ascii="Arial" w:hAnsi="Arial" w:cs="Arial"/>
          <w:sz w:val="24"/>
          <w:szCs w:val="24"/>
        </w:rPr>
        <w:t>Una – Campus Linha Verde</w:t>
      </w:r>
    </w:p>
    <w:p w14:paraId="248458D7" w14:textId="77777777" w:rsidR="00857D2A" w:rsidRPr="00D127C6" w:rsidRDefault="00857D2A" w:rsidP="00857D2A">
      <w:pPr>
        <w:tabs>
          <w:tab w:val="left" w:pos="7710"/>
        </w:tabs>
      </w:pPr>
    </w:p>
    <w:p w14:paraId="157D192C" w14:textId="77777777" w:rsidR="0006119F" w:rsidRPr="00D127C6" w:rsidRDefault="0006119F" w:rsidP="00857D2A">
      <w:pPr>
        <w:tabs>
          <w:tab w:val="left" w:pos="7710"/>
        </w:tabs>
      </w:pPr>
    </w:p>
    <w:p w14:paraId="327163B3" w14:textId="37F29977" w:rsidR="0006119F" w:rsidRPr="00D127C6" w:rsidRDefault="0006119F" w:rsidP="00857D2A">
      <w:pPr>
        <w:tabs>
          <w:tab w:val="left" w:pos="7710"/>
        </w:tabs>
      </w:pPr>
    </w:p>
    <w:p w14:paraId="0A710AFF" w14:textId="77777777" w:rsidR="0006119F" w:rsidRPr="00D127C6" w:rsidRDefault="0006119F" w:rsidP="00857D2A">
      <w:pPr>
        <w:tabs>
          <w:tab w:val="left" w:pos="7710"/>
        </w:tabs>
      </w:pPr>
    </w:p>
    <w:p w14:paraId="28BF8296" w14:textId="2E3BC9FE" w:rsidR="0006119F" w:rsidRPr="00D127C6" w:rsidRDefault="0006119F" w:rsidP="00857D2A">
      <w:pPr>
        <w:tabs>
          <w:tab w:val="left" w:pos="7710"/>
        </w:tabs>
      </w:pPr>
    </w:p>
    <w:p w14:paraId="07A01CE4" w14:textId="77777777" w:rsidR="005A0A8B" w:rsidRDefault="005A0A8B" w:rsidP="00857D2A">
      <w:pPr>
        <w:tabs>
          <w:tab w:val="left" w:pos="7710"/>
        </w:tabs>
      </w:pPr>
    </w:p>
    <w:p w14:paraId="5E1C517D" w14:textId="77777777" w:rsidR="003A6F7C" w:rsidRPr="00D127C6" w:rsidRDefault="003A6F7C" w:rsidP="00857D2A">
      <w:pPr>
        <w:tabs>
          <w:tab w:val="left" w:pos="7710"/>
        </w:tabs>
      </w:pPr>
    </w:p>
    <w:p w14:paraId="05AEA16D" w14:textId="77777777" w:rsidR="005A0A8B" w:rsidRPr="00D127C6" w:rsidRDefault="005A0A8B" w:rsidP="00857D2A">
      <w:pPr>
        <w:tabs>
          <w:tab w:val="left" w:pos="7710"/>
        </w:tabs>
      </w:pPr>
    </w:p>
    <w:p w14:paraId="41D728A2" w14:textId="5FE93704" w:rsidR="003A6F7C" w:rsidRDefault="003A6F7C" w:rsidP="003A6F7C">
      <w:pPr>
        <w:ind w:left="249" w:right="141"/>
        <w:jc w:val="center"/>
        <w:rPr>
          <w:rFonts w:ascii="Arial" w:hAnsi="Arial"/>
          <w:b/>
          <w:sz w:val="24"/>
        </w:rPr>
      </w:pPr>
      <w:r>
        <w:rPr>
          <w:rFonts w:ascii="Arial" w:hAnsi="Arial"/>
          <w:b/>
          <w:i/>
          <w:sz w:val="24"/>
        </w:rPr>
        <w:t>HOLDING</w:t>
      </w:r>
      <w:r>
        <w:rPr>
          <w:rFonts w:ascii="Arial" w:hAnsi="Arial"/>
          <w:b/>
          <w:i/>
          <w:spacing w:val="-4"/>
          <w:sz w:val="24"/>
        </w:rPr>
        <w:t xml:space="preserve"> </w:t>
      </w:r>
      <w:r>
        <w:rPr>
          <w:rFonts w:ascii="Arial" w:hAnsi="Arial"/>
          <w:b/>
          <w:sz w:val="24"/>
        </w:rPr>
        <w:t>FAMILIAR</w:t>
      </w:r>
      <w:r>
        <w:rPr>
          <w:rFonts w:ascii="Arial" w:hAnsi="Arial"/>
          <w:b/>
          <w:spacing w:val="-2"/>
          <w:sz w:val="24"/>
        </w:rPr>
        <w:t xml:space="preserve"> </w:t>
      </w:r>
      <w:r>
        <w:rPr>
          <w:rFonts w:ascii="Arial" w:hAnsi="Arial"/>
          <w:b/>
          <w:sz w:val="24"/>
        </w:rPr>
        <w:t>COMO</w:t>
      </w:r>
      <w:r>
        <w:rPr>
          <w:rFonts w:ascii="Arial" w:hAnsi="Arial"/>
          <w:b/>
          <w:spacing w:val="-3"/>
          <w:sz w:val="24"/>
        </w:rPr>
        <w:t xml:space="preserve"> </w:t>
      </w:r>
      <w:r w:rsidR="00CE710C">
        <w:rPr>
          <w:rFonts w:ascii="Arial" w:hAnsi="Arial"/>
          <w:b/>
          <w:sz w:val="24"/>
        </w:rPr>
        <w:t>INSTRUMENTO</w:t>
      </w:r>
      <w:r>
        <w:rPr>
          <w:rFonts w:ascii="Arial" w:hAnsi="Arial"/>
          <w:b/>
          <w:spacing w:val="-7"/>
          <w:sz w:val="24"/>
        </w:rPr>
        <w:t xml:space="preserve"> </w:t>
      </w:r>
      <w:r w:rsidR="00CE710C">
        <w:rPr>
          <w:rFonts w:ascii="Arial" w:hAnsi="Arial"/>
          <w:b/>
          <w:sz w:val="24"/>
        </w:rPr>
        <w:t>DO</w:t>
      </w:r>
      <w:r>
        <w:rPr>
          <w:rFonts w:ascii="Arial" w:hAnsi="Arial"/>
          <w:b/>
          <w:spacing w:val="-3"/>
          <w:sz w:val="24"/>
        </w:rPr>
        <w:t xml:space="preserve"> </w:t>
      </w:r>
      <w:r>
        <w:rPr>
          <w:rFonts w:ascii="Arial" w:hAnsi="Arial"/>
          <w:b/>
          <w:sz w:val="24"/>
        </w:rPr>
        <w:t>PLANEJAMENTO</w:t>
      </w:r>
      <w:r>
        <w:rPr>
          <w:rFonts w:ascii="Arial" w:hAnsi="Arial"/>
          <w:b/>
          <w:spacing w:val="-3"/>
          <w:sz w:val="24"/>
        </w:rPr>
        <w:t xml:space="preserve"> </w:t>
      </w:r>
      <w:r>
        <w:rPr>
          <w:rFonts w:ascii="Arial" w:hAnsi="Arial"/>
          <w:b/>
          <w:sz w:val="24"/>
        </w:rPr>
        <w:t>SUCESSÓRIO</w:t>
      </w:r>
    </w:p>
    <w:p w14:paraId="763EB114" w14:textId="77777777" w:rsidR="003A6F7C" w:rsidRDefault="003A6F7C" w:rsidP="003A6F7C">
      <w:pPr>
        <w:pStyle w:val="Corpodetexto"/>
        <w:rPr>
          <w:b w:val="0"/>
          <w:sz w:val="26"/>
        </w:rPr>
      </w:pPr>
    </w:p>
    <w:p w14:paraId="667B493B" w14:textId="6BEEC3B7" w:rsidR="0006119F" w:rsidRPr="00D127C6" w:rsidRDefault="0006119F" w:rsidP="00021DAE">
      <w:pPr>
        <w:tabs>
          <w:tab w:val="left" w:pos="7710"/>
        </w:tabs>
        <w:jc w:val="center"/>
        <w:rPr>
          <w:rFonts w:ascii="Arial" w:hAnsi="Arial" w:cs="Arial"/>
          <w:b/>
          <w:bCs/>
          <w:sz w:val="24"/>
          <w:szCs w:val="24"/>
        </w:rPr>
      </w:pPr>
    </w:p>
    <w:p w14:paraId="201A88A2" w14:textId="77777777" w:rsidR="0006119F" w:rsidRPr="00D127C6" w:rsidRDefault="0006119F" w:rsidP="00857D2A">
      <w:pPr>
        <w:tabs>
          <w:tab w:val="left" w:pos="7710"/>
        </w:tabs>
      </w:pPr>
    </w:p>
    <w:p w14:paraId="3BE05426" w14:textId="77777777" w:rsidR="0006119F" w:rsidRDefault="0006119F" w:rsidP="00857D2A">
      <w:pPr>
        <w:tabs>
          <w:tab w:val="left" w:pos="7710"/>
        </w:tabs>
      </w:pPr>
    </w:p>
    <w:p w14:paraId="5B2D9FCE" w14:textId="77777777" w:rsidR="003A6F7C" w:rsidRDefault="003A6F7C" w:rsidP="00857D2A">
      <w:pPr>
        <w:tabs>
          <w:tab w:val="left" w:pos="7710"/>
        </w:tabs>
      </w:pPr>
    </w:p>
    <w:p w14:paraId="00588D5D" w14:textId="77777777" w:rsidR="003A6F7C" w:rsidRDefault="003A6F7C" w:rsidP="00857D2A">
      <w:pPr>
        <w:tabs>
          <w:tab w:val="left" w:pos="7710"/>
        </w:tabs>
      </w:pPr>
    </w:p>
    <w:p w14:paraId="6033CEFF" w14:textId="77777777" w:rsidR="003A6F7C" w:rsidRDefault="003A6F7C" w:rsidP="00857D2A">
      <w:pPr>
        <w:tabs>
          <w:tab w:val="left" w:pos="7710"/>
        </w:tabs>
      </w:pPr>
    </w:p>
    <w:p w14:paraId="0E77CC39" w14:textId="77777777" w:rsidR="003A6F7C" w:rsidRPr="00D127C6" w:rsidRDefault="003A6F7C" w:rsidP="00857D2A">
      <w:pPr>
        <w:tabs>
          <w:tab w:val="left" w:pos="7710"/>
        </w:tabs>
      </w:pPr>
    </w:p>
    <w:p w14:paraId="7D344F6C" w14:textId="77777777" w:rsidR="0006119F" w:rsidRPr="00D127C6" w:rsidRDefault="0006119F" w:rsidP="00857D2A">
      <w:pPr>
        <w:tabs>
          <w:tab w:val="left" w:pos="7710"/>
        </w:tabs>
      </w:pPr>
    </w:p>
    <w:p w14:paraId="2F17D2B7" w14:textId="1B671B80" w:rsidR="00857D2A" w:rsidRPr="00D127C6" w:rsidRDefault="003A6F7C" w:rsidP="00857D2A">
      <w:pPr>
        <w:tabs>
          <w:tab w:val="left" w:pos="7710"/>
        </w:tabs>
        <w:jc w:val="center"/>
        <w:rPr>
          <w:rFonts w:ascii="Arial" w:hAnsi="Arial" w:cs="Arial"/>
          <w:sz w:val="24"/>
          <w:szCs w:val="24"/>
        </w:rPr>
      </w:pPr>
      <w:r>
        <w:rPr>
          <w:rFonts w:ascii="Arial" w:hAnsi="Arial" w:cs="Arial"/>
          <w:sz w:val="24"/>
          <w:szCs w:val="24"/>
        </w:rPr>
        <w:t xml:space="preserve">Vitória Emanuelle Gomes Daniel </w:t>
      </w:r>
    </w:p>
    <w:p w14:paraId="22D43B44" w14:textId="73310C6D" w:rsidR="00857D2A" w:rsidRPr="00D127C6" w:rsidRDefault="003A6F7C" w:rsidP="00857D2A">
      <w:pPr>
        <w:tabs>
          <w:tab w:val="left" w:pos="7710"/>
        </w:tabs>
        <w:jc w:val="center"/>
        <w:rPr>
          <w:rFonts w:ascii="Arial" w:hAnsi="Arial" w:cs="Arial"/>
          <w:sz w:val="24"/>
          <w:szCs w:val="24"/>
        </w:rPr>
      </w:pPr>
      <w:r>
        <w:rPr>
          <w:rFonts w:ascii="Arial" w:hAnsi="Arial" w:cs="Arial"/>
          <w:sz w:val="24"/>
          <w:szCs w:val="24"/>
        </w:rPr>
        <w:t>Vitória Vitor Fernandes Azevedo</w:t>
      </w:r>
    </w:p>
    <w:p w14:paraId="7A73182D" w14:textId="77777777" w:rsidR="00857D2A" w:rsidRPr="00D127C6" w:rsidRDefault="00857D2A" w:rsidP="00857D2A">
      <w:pPr>
        <w:tabs>
          <w:tab w:val="left" w:pos="7710"/>
        </w:tabs>
        <w:jc w:val="center"/>
        <w:rPr>
          <w:rFonts w:ascii="Times New Roman" w:hAnsi="Times New Roman" w:cs="Times New Roman"/>
          <w:sz w:val="24"/>
          <w:szCs w:val="24"/>
        </w:rPr>
      </w:pPr>
    </w:p>
    <w:p w14:paraId="727D8837" w14:textId="77777777" w:rsidR="00021DAE" w:rsidRDefault="00021DAE" w:rsidP="00857D2A">
      <w:pPr>
        <w:tabs>
          <w:tab w:val="left" w:pos="7710"/>
        </w:tabs>
        <w:jc w:val="center"/>
        <w:rPr>
          <w:rFonts w:ascii="Times New Roman" w:hAnsi="Times New Roman" w:cs="Times New Roman"/>
          <w:sz w:val="24"/>
          <w:szCs w:val="24"/>
        </w:rPr>
      </w:pPr>
    </w:p>
    <w:p w14:paraId="7F6F00BF" w14:textId="77777777" w:rsidR="003A6F7C" w:rsidRPr="00D127C6" w:rsidRDefault="003A6F7C" w:rsidP="00857D2A">
      <w:pPr>
        <w:tabs>
          <w:tab w:val="left" w:pos="7710"/>
        </w:tabs>
        <w:jc w:val="center"/>
        <w:rPr>
          <w:rFonts w:ascii="Arial" w:hAnsi="Arial" w:cs="Arial"/>
          <w:sz w:val="24"/>
          <w:szCs w:val="24"/>
        </w:rPr>
      </w:pPr>
    </w:p>
    <w:p w14:paraId="08303374" w14:textId="77777777" w:rsidR="003E0932" w:rsidRDefault="003E0932" w:rsidP="00857D2A">
      <w:pPr>
        <w:tabs>
          <w:tab w:val="left" w:pos="7710"/>
        </w:tabs>
        <w:jc w:val="center"/>
        <w:rPr>
          <w:rFonts w:ascii="Arial" w:hAnsi="Arial" w:cs="Arial"/>
          <w:sz w:val="24"/>
          <w:szCs w:val="24"/>
        </w:rPr>
      </w:pPr>
    </w:p>
    <w:p w14:paraId="13D8E55A" w14:textId="77777777" w:rsidR="003A6F7C" w:rsidRPr="00D127C6" w:rsidRDefault="003A6F7C" w:rsidP="00857D2A">
      <w:pPr>
        <w:tabs>
          <w:tab w:val="left" w:pos="7710"/>
        </w:tabs>
        <w:jc w:val="center"/>
        <w:rPr>
          <w:rFonts w:ascii="Arial" w:hAnsi="Arial" w:cs="Arial"/>
          <w:sz w:val="24"/>
          <w:szCs w:val="24"/>
        </w:rPr>
      </w:pPr>
    </w:p>
    <w:p w14:paraId="42A15F67" w14:textId="22A2CC16" w:rsidR="00857D2A" w:rsidRPr="00D127C6" w:rsidRDefault="00857D2A" w:rsidP="00857D2A">
      <w:pPr>
        <w:tabs>
          <w:tab w:val="left" w:pos="7710"/>
        </w:tabs>
        <w:jc w:val="center"/>
        <w:rPr>
          <w:rFonts w:ascii="Arial" w:hAnsi="Arial" w:cs="Arial"/>
          <w:sz w:val="24"/>
          <w:szCs w:val="24"/>
        </w:rPr>
      </w:pPr>
      <w:r w:rsidRPr="00D127C6">
        <w:rPr>
          <w:rFonts w:ascii="Arial" w:hAnsi="Arial" w:cs="Arial"/>
          <w:sz w:val="24"/>
          <w:szCs w:val="24"/>
        </w:rPr>
        <w:t>Belo Horizonte/MG</w:t>
      </w:r>
    </w:p>
    <w:p w14:paraId="458F5ACF" w14:textId="25E9C28A" w:rsidR="00857D2A" w:rsidRDefault="003A6F7C" w:rsidP="00857D2A">
      <w:pPr>
        <w:tabs>
          <w:tab w:val="left" w:pos="7710"/>
        </w:tabs>
        <w:jc w:val="center"/>
        <w:rPr>
          <w:rFonts w:ascii="Arial" w:hAnsi="Arial" w:cs="Arial"/>
          <w:sz w:val="24"/>
          <w:szCs w:val="24"/>
        </w:rPr>
      </w:pPr>
      <w:r>
        <w:rPr>
          <w:rFonts w:ascii="Arial" w:hAnsi="Arial" w:cs="Arial"/>
          <w:sz w:val="24"/>
          <w:szCs w:val="24"/>
        </w:rPr>
        <w:t>2024</w:t>
      </w:r>
      <w:r w:rsidR="00A82653" w:rsidRPr="00D127C6">
        <w:rPr>
          <w:rFonts w:ascii="Arial" w:hAnsi="Arial" w:cs="Arial"/>
          <w:sz w:val="24"/>
          <w:szCs w:val="24"/>
        </w:rPr>
        <w:t>.</w:t>
      </w:r>
      <w:r w:rsidR="00857D2A" w:rsidRPr="00D127C6">
        <w:rPr>
          <w:rFonts w:ascii="Arial" w:hAnsi="Arial" w:cs="Arial"/>
          <w:sz w:val="24"/>
          <w:szCs w:val="24"/>
        </w:rPr>
        <w:t>2</w:t>
      </w:r>
    </w:p>
    <w:p w14:paraId="36D3D5B7" w14:textId="77777777" w:rsidR="00B30467" w:rsidRPr="00D127C6" w:rsidRDefault="00B30467" w:rsidP="00857D2A">
      <w:pPr>
        <w:tabs>
          <w:tab w:val="left" w:pos="7710"/>
        </w:tabs>
        <w:jc w:val="center"/>
        <w:rPr>
          <w:rFonts w:ascii="Arial" w:hAnsi="Arial" w:cs="Arial"/>
          <w:sz w:val="24"/>
          <w:szCs w:val="24"/>
        </w:rPr>
      </w:pPr>
    </w:p>
    <w:p w14:paraId="587BA8B4" w14:textId="7DB2394E" w:rsidR="009E216D" w:rsidRDefault="009E216D" w:rsidP="00CD54B0">
      <w:pPr>
        <w:pStyle w:val="Abstract"/>
        <w:spacing w:line="360" w:lineRule="auto"/>
        <w:ind w:right="91"/>
        <w:rPr>
          <w:bCs/>
          <w:szCs w:val="24"/>
        </w:rPr>
      </w:pPr>
      <w:r>
        <w:rPr>
          <w:bCs/>
          <w:szCs w:val="24"/>
        </w:rPr>
        <w:lastRenderedPageBreak/>
        <w:t xml:space="preserve">                                                         RESUMO</w:t>
      </w:r>
    </w:p>
    <w:p w14:paraId="32AEB3A8" w14:textId="77777777" w:rsidR="00B30467" w:rsidRDefault="00B30467" w:rsidP="00CD54B0">
      <w:pPr>
        <w:pStyle w:val="Abstract"/>
        <w:spacing w:line="360" w:lineRule="auto"/>
        <w:ind w:right="91"/>
        <w:rPr>
          <w:bCs/>
          <w:szCs w:val="24"/>
        </w:rPr>
      </w:pPr>
    </w:p>
    <w:p w14:paraId="732EFC7C" w14:textId="77777777" w:rsidR="00B30467" w:rsidRPr="00B30467" w:rsidRDefault="00B30467" w:rsidP="00CD54B0">
      <w:pPr>
        <w:pStyle w:val="Abstract"/>
        <w:spacing w:line="360" w:lineRule="auto"/>
        <w:ind w:right="91"/>
        <w:rPr>
          <w:bCs/>
          <w:szCs w:val="24"/>
        </w:rPr>
      </w:pPr>
    </w:p>
    <w:p w14:paraId="5233CF9E" w14:textId="54BF6FC5" w:rsidR="00B30467" w:rsidRDefault="004D660A" w:rsidP="00396F4D">
      <w:pPr>
        <w:pStyle w:val="Abstract"/>
        <w:spacing w:line="360" w:lineRule="auto"/>
        <w:ind w:right="0"/>
        <w:rPr>
          <w:b w:val="0"/>
          <w:szCs w:val="24"/>
        </w:rPr>
      </w:pPr>
      <w:r>
        <w:rPr>
          <w:b w:val="0"/>
          <w:szCs w:val="24"/>
        </w:rPr>
        <w:t xml:space="preserve">            </w:t>
      </w:r>
      <w:r w:rsidR="009E216D">
        <w:rPr>
          <w:b w:val="0"/>
          <w:szCs w:val="24"/>
        </w:rPr>
        <w:t xml:space="preserve">Visando elucidar as vantagens da </w:t>
      </w:r>
      <w:r w:rsidR="009E216D" w:rsidRPr="009E216D">
        <w:rPr>
          <w:b w:val="0"/>
          <w:i/>
          <w:szCs w:val="24"/>
        </w:rPr>
        <w:t>holding</w:t>
      </w:r>
      <w:r w:rsidR="009E216D">
        <w:rPr>
          <w:b w:val="0"/>
          <w:szCs w:val="24"/>
        </w:rPr>
        <w:t xml:space="preserve"> familiar como ferramenta de planejamento sucessório, est</w:t>
      </w:r>
      <w:r w:rsidR="00CE710C">
        <w:rPr>
          <w:b w:val="0"/>
          <w:szCs w:val="24"/>
        </w:rPr>
        <w:t>e artigo tem como o elemento principal</w:t>
      </w:r>
      <w:r w:rsidR="00FA4C8B">
        <w:rPr>
          <w:b w:val="0"/>
          <w:szCs w:val="24"/>
        </w:rPr>
        <w:t xml:space="preserve"> de esclarecer os benefícios</w:t>
      </w:r>
      <w:r w:rsidR="009E216D">
        <w:rPr>
          <w:b w:val="0"/>
          <w:szCs w:val="24"/>
        </w:rPr>
        <w:t xml:space="preserve"> e a importância de uma empresa </w:t>
      </w:r>
      <w:r w:rsidR="009E216D" w:rsidRPr="009E216D">
        <w:rPr>
          <w:b w:val="0"/>
          <w:i/>
          <w:szCs w:val="24"/>
        </w:rPr>
        <w:t>holding</w:t>
      </w:r>
      <w:r w:rsidR="009E216D">
        <w:rPr>
          <w:b w:val="0"/>
          <w:szCs w:val="24"/>
        </w:rPr>
        <w:t xml:space="preserve"> nas modalid</w:t>
      </w:r>
      <w:r w:rsidR="00FB7636">
        <w:rPr>
          <w:b w:val="0"/>
          <w:szCs w:val="24"/>
        </w:rPr>
        <w:t>ades tradicionais de sucessão</w:t>
      </w:r>
      <w:r w:rsidR="00E451EC">
        <w:rPr>
          <w:b w:val="0"/>
          <w:szCs w:val="24"/>
        </w:rPr>
        <w:t xml:space="preserve">. </w:t>
      </w:r>
      <w:r w:rsidR="00FB7636">
        <w:rPr>
          <w:b w:val="0"/>
          <w:szCs w:val="24"/>
        </w:rPr>
        <w:t>A pesquisa identifica</w:t>
      </w:r>
      <w:r w:rsidR="00FA4C8B">
        <w:rPr>
          <w:b w:val="0"/>
          <w:szCs w:val="24"/>
        </w:rPr>
        <w:t xml:space="preserve"> </w:t>
      </w:r>
      <w:r w:rsidR="00002EFA">
        <w:rPr>
          <w:b w:val="0"/>
          <w:szCs w:val="24"/>
        </w:rPr>
        <w:t>o conceito d</w:t>
      </w:r>
      <w:r>
        <w:rPr>
          <w:b w:val="0"/>
          <w:szCs w:val="24"/>
        </w:rPr>
        <w:t xml:space="preserve">a </w:t>
      </w:r>
      <w:r w:rsidRPr="004D660A">
        <w:rPr>
          <w:b w:val="0"/>
          <w:i/>
          <w:szCs w:val="24"/>
        </w:rPr>
        <w:t>holding</w:t>
      </w:r>
      <w:r>
        <w:rPr>
          <w:b w:val="0"/>
          <w:szCs w:val="24"/>
        </w:rPr>
        <w:t xml:space="preserve"> e da </w:t>
      </w:r>
      <w:r w:rsidRPr="004D660A">
        <w:rPr>
          <w:b w:val="0"/>
          <w:i/>
          <w:szCs w:val="24"/>
        </w:rPr>
        <w:t>holding</w:t>
      </w:r>
      <w:r w:rsidR="007247AE">
        <w:rPr>
          <w:b w:val="0"/>
          <w:szCs w:val="24"/>
        </w:rPr>
        <w:t xml:space="preserve"> familiar, </w:t>
      </w:r>
      <w:r>
        <w:rPr>
          <w:b w:val="0"/>
          <w:szCs w:val="24"/>
        </w:rPr>
        <w:t xml:space="preserve">evidenciando elementos que resultam frequentemente em diminuição </w:t>
      </w:r>
      <w:r w:rsidR="007247AE">
        <w:rPr>
          <w:b w:val="0"/>
          <w:szCs w:val="24"/>
        </w:rPr>
        <w:t>da carga tributária</w:t>
      </w:r>
      <w:r w:rsidR="00FB7636">
        <w:rPr>
          <w:b w:val="0"/>
          <w:szCs w:val="24"/>
        </w:rPr>
        <w:t xml:space="preserve"> comparada aos métodos tradicionais de sucessão</w:t>
      </w:r>
      <w:r w:rsidR="00917534">
        <w:rPr>
          <w:b w:val="0"/>
          <w:szCs w:val="24"/>
        </w:rPr>
        <w:t xml:space="preserve">, </w:t>
      </w:r>
      <w:r w:rsidR="00FB7636">
        <w:rPr>
          <w:b w:val="0"/>
          <w:szCs w:val="24"/>
        </w:rPr>
        <w:t xml:space="preserve">sendo um importante instrumento no planejamento sucessório. </w:t>
      </w:r>
    </w:p>
    <w:p w14:paraId="4566F43F" w14:textId="77777777" w:rsidR="00FB7636" w:rsidRDefault="00FB7636" w:rsidP="00B30467">
      <w:pPr>
        <w:pStyle w:val="Abstract"/>
        <w:spacing w:line="360" w:lineRule="auto"/>
        <w:ind w:right="91"/>
        <w:rPr>
          <w:b w:val="0"/>
          <w:szCs w:val="24"/>
        </w:rPr>
      </w:pPr>
    </w:p>
    <w:p w14:paraId="19B4E3F0" w14:textId="77777777" w:rsidR="00FB7636" w:rsidRPr="00B30467" w:rsidRDefault="00FB7636" w:rsidP="00B30467">
      <w:pPr>
        <w:pStyle w:val="Abstract"/>
        <w:spacing w:line="360" w:lineRule="auto"/>
        <w:ind w:right="91"/>
        <w:rPr>
          <w:b w:val="0"/>
          <w:szCs w:val="24"/>
        </w:rPr>
      </w:pPr>
    </w:p>
    <w:p w14:paraId="4A0A3CF4" w14:textId="05D14B63" w:rsidR="006769CC" w:rsidRDefault="0006119F" w:rsidP="00776D5F">
      <w:pPr>
        <w:pStyle w:val="Abstract"/>
        <w:spacing w:line="360" w:lineRule="auto"/>
        <w:rPr>
          <w:b w:val="0"/>
          <w:bCs/>
          <w:szCs w:val="24"/>
        </w:rPr>
      </w:pPr>
      <w:r w:rsidRPr="00E451EC">
        <w:rPr>
          <w:bCs/>
          <w:szCs w:val="24"/>
        </w:rPr>
        <w:t>Palavra-chave:</w:t>
      </w:r>
      <w:r w:rsidRPr="00B30467">
        <w:rPr>
          <w:b w:val="0"/>
          <w:bCs/>
          <w:szCs w:val="24"/>
        </w:rPr>
        <w:t xml:space="preserve"> </w:t>
      </w:r>
      <w:r w:rsidR="009E216D" w:rsidRPr="00B30467">
        <w:rPr>
          <w:b w:val="0"/>
          <w:bCs/>
          <w:i/>
          <w:szCs w:val="24"/>
        </w:rPr>
        <w:t>Holding</w:t>
      </w:r>
      <w:r w:rsidR="00A41974" w:rsidRPr="00B30467">
        <w:rPr>
          <w:b w:val="0"/>
          <w:bCs/>
          <w:szCs w:val="24"/>
        </w:rPr>
        <w:t>,</w:t>
      </w:r>
      <w:r w:rsidR="00F12CED" w:rsidRPr="00B30467">
        <w:rPr>
          <w:b w:val="0"/>
          <w:bCs/>
          <w:szCs w:val="24"/>
        </w:rPr>
        <w:t xml:space="preserve"> </w:t>
      </w:r>
      <w:r w:rsidR="00F3100F">
        <w:rPr>
          <w:b w:val="0"/>
          <w:bCs/>
          <w:szCs w:val="24"/>
        </w:rPr>
        <w:t>Sucessão</w:t>
      </w:r>
      <w:r w:rsidR="00A41974" w:rsidRPr="00B30467">
        <w:rPr>
          <w:b w:val="0"/>
          <w:bCs/>
          <w:szCs w:val="24"/>
        </w:rPr>
        <w:t>,</w:t>
      </w:r>
      <w:r w:rsidR="00F3100F">
        <w:rPr>
          <w:b w:val="0"/>
          <w:bCs/>
          <w:szCs w:val="24"/>
        </w:rPr>
        <w:t xml:space="preserve"> Benefícios. </w:t>
      </w:r>
    </w:p>
    <w:p w14:paraId="48CABAE9" w14:textId="77777777" w:rsidR="00396F4D" w:rsidRDefault="00396F4D" w:rsidP="00776D5F">
      <w:pPr>
        <w:pStyle w:val="Abstract"/>
        <w:spacing w:line="360" w:lineRule="auto"/>
        <w:rPr>
          <w:b w:val="0"/>
          <w:bCs/>
          <w:szCs w:val="24"/>
        </w:rPr>
      </w:pPr>
    </w:p>
    <w:p w14:paraId="54DC28C2" w14:textId="77777777" w:rsidR="00396F4D" w:rsidRDefault="00396F4D" w:rsidP="00776D5F">
      <w:pPr>
        <w:pStyle w:val="Abstract"/>
        <w:spacing w:line="360" w:lineRule="auto"/>
        <w:rPr>
          <w:b w:val="0"/>
          <w:bCs/>
          <w:szCs w:val="24"/>
        </w:rPr>
      </w:pPr>
    </w:p>
    <w:p w14:paraId="1559BEEC" w14:textId="69B8CB64" w:rsidR="006769CC" w:rsidRDefault="006769CC" w:rsidP="006769CC">
      <w:pPr>
        <w:pStyle w:val="Abstract"/>
      </w:pPr>
      <w:r>
        <w:t xml:space="preserve">                    </w:t>
      </w:r>
      <w:r w:rsidR="00D535FE">
        <w:t xml:space="preserve">                                    </w:t>
      </w:r>
      <w:r>
        <w:t>INTRODUÇÃO</w:t>
      </w:r>
    </w:p>
    <w:p w14:paraId="2EFE1A6F" w14:textId="77777777" w:rsidR="006769CC" w:rsidRPr="00002EFA" w:rsidRDefault="006769CC" w:rsidP="006769CC">
      <w:pPr>
        <w:pStyle w:val="Abstract"/>
      </w:pPr>
    </w:p>
    <w:p w14:paraId="6548DEBA" w14:textId="77777777" w:rsidR="006769CC" w:rsidRDefault="006769CC" w:rsidP="00396F4D">
      <w:pPr>
        <w:pStyle w:val="tITULOS"/>
        <w:spacing w:before="0" w:line="360" w:lineRule="auto"/>
        <w:ind w:left="0" w:right="0" w:firstLine="708"/>
        <w:rPr>
          <w:b w:val="0"/>
          <w:bCs w:val="0"/>
        </w:rPr>
      </w:pPr>
      <w:r>
        <w:rPr>
          <w:b w:val="0"/>
          <w:bCs w:val="0"/>
        </w:rPr>
        <w:t xml:space="preserve">A palavra </w:t>
      </w:r>
      <w:r w:rsidRPr="004106F5">
        <w:rPr>
          <w:b w:val="0"/>
          <w:bCs w:val="0"/>
          <w:i/>
        </w:rPr>
        <w:t>Holding</w:t>
      </w:r>
      <w:r>
        <w:rPr>
          <w:b w:val="0"/>
          <w:bCs w:val="0"/>
        </w:rPr>
        <w:t xml:space="preserve"> deriva de um verbo sendo a expressão da língua inglesa “</w:t>
      </w:r>
      <w:proofErr w:type="spellStart"/>
      <w:r w:rsidRPr="004106F5">
        <w:rPr>
          <w:b w:val="0"/>
          <w:bCs w:val="0"/>
          <w:i/>
        </w:rPr>
        <w:t>To</w:t>
      </w:r>
      <w:proofErr w:type="spellEnd"/>
      <w:r w:rsidRPr="004106F5">
        <w:rPr>
          <w:b w:val="0"/>
          <w:bCs w:val="0"/>
          <w:i/>
        </w:rPr>
        <w:t xml:space="preserve"> </w:t>
      </w:r>
      <w:proofErr w:type="spellStart"/>
      <w:r w:rsidRPr="004106F5">
        <w:rPr>
          <w:b w:val="0"/>
          <w:bCs w:val="0"/>
          <w:i/>
        </w:rPr>
        <w:t>hold</w:t>
      </w:r>
      <w:proofErr w:type="spellEnd"/>
      <w:r>
        <w:rPr>
          <w:b w:val="0"/>
          <w:bCs w:val="0"/>
        </w:rPr>
        <w:t xml:space="preserve">”, que significa “possuir”, “manter” e “agarrar”, a origem desses respectivos verbos, trazem a noção de que holding é manter sob o controle. </w:t>
      </w:r>
      <w:r w:rsidRPr="00205F4D">
        <w:rPr>
          <w:b w:val="0"/>
          <w:bCs w:val="0"/>
        </w:rPr>
        <w:t xml:space="preserve">Porém, na verdade, esse termo surge da palavra </w:t>
      </w:r>
      <w:proofErr w:type="spellStart"/>
      <w:r w:rsidRPr="00205F4D">
        <w:rPr>
          <w:b w:val="0"/>
          <w:bCs w:val="0"/>
          <w:i/>
          <w:iCs/>
        </w:rPr>
        <w:t>shareholder</w:t>
      </w:r>
      <w:proofErr w:type="spellEnd"/>
      <w:r w:rsidRPr="00205F4D">
        <w:rPr>
          <w:b w:val="0"/>
          <w:bCs w:val="0"/>
        </w:rPr>
        <w:t xml:space="preserve">, que é uma palavra de origem inglesa muito comum no ambiente empresarial, e que em língua portuguesa significa acionista, ou seja, é uma pessoa que é portadora de ações de outras sociedades. </w:t>
      </w:r>
    </w:p>
    <w:p w14:paraId="37956D92" w14:textId="77777777" w:rsidR="006769CC" w:rsidRDefault="006769CC" w:rsidP="00396F4D">
      <w:pPr>
        <w:pStyle w:val="tITULOS"/>
        <w:spacing w:before="0" w:line="360" w:lineRule="auto"/>
        <w:ind w:left="0" w:right="0" w:firstLine="708"/>
        <w:rPr>
          <w:b w:val="0"/>
          <w:bCs w:val="0"/>
        </w:rPr>
      </w:pPr>
    </w:p>
    <w:p w14:paraId="7A99585F" w14:textId="77777777" w:rsidR="006769CC" w:rsidRDefault="006769CC" w:rsidP="00396F4D">
      <w:pPr>
        <w:pStyle w:val="tITULOS"/>
        <w:spacing w:before="0" w:line="360" w:lineRule="auto"/>
        <w:ind w:left="0" w:right="0" w:firstLine="708"/>
        <w:rPr>
          <w:b w:val="0"/>
          <w:bCs w:val="0"/>
        </w:rPr>
      </w:pPr>
      <w:r>
        <w:rPr>
          <w:b w:val="0"/>
          <w:bCs w:val="0"/>
        </w:rPr>
        <w:t xml:space="preserve">As </w:t>
      </w:r>
      <w:r w:rsidRPr="00D66D00">
        <w:rPr>
          <w:b w:val="0"/>
          <w:bCs w:val="0"/>
          <w:i/>
        </w:rPr>
        <w:t>holdings</w:t>
      </w:r>
      <w:r>
        <w:rPr>
          <w:b w:val="0"/>
          <w:bCs w:val="0"/>
        </w:rPr>
        <w:t xml:space="preserve"> surgiram nos Estados Unidos no final do século XIX, como uma solução para a necessidade de supervisionar grandes conglomerados empresariais. A holding familiar surgiu a partir desse modelo, voltada para famílias empresárias que desejavam uma administração eficaz de seus ativos e um planejamento sucessório seguro. </w:t>
      </w:r>
    </w:p>
    <w:p w14:paraId="67E028A6" w14:textId="77777777" w:rsidR="006769CC" w:rsidRDefault="006769CC" w:rsidP="00396F4D">
      <w:pPr>
        <w:pStyle w:val="tITULOS"/>
        <w:spacing w:before="0" w:line="360" w:lineRule="auto"/>
        <w:ind w:left="0" w:right="0" w:firstLine="708"/>
        <w:rPr>
          <w:b w:val="0"/>
          <w:bCs w:val="0"/>
        </w:rPr>
      </w:pPr>
    </w:p>
    <w:p w14:paraId="1D845720" w14:textId="77777777" w:rsidR="006769CC" w:rsidRPr="00447D3F" w:rsidRDefault="006769CC" w:rsidP="00396F4D">
      <w:pPr>
        <w:pStyle w:val="tITULOS"/>
        <w:spacing w:line="360" w:lineRule="auto"/>
        <w:ind w:left="113" w:right="0" w:firstLine="0"/>
        <w:rPr>
          <w:b w:val="0"/>
          <w:bCs w:val="0"/>
        </w:rPr>
      </w:pPr>
      <w:r>
        <w:rPr>
          <w:b w:val="0"/>
          <w:bCs w:val="0"/>
        </w:rPr>
        <w:t>Em síntese, a</w:t>
      </w:r>
      <w:r w:rsidRPr="00447D3F">
        <w:rPr>
          <w:b w:val="0"/>
          <w:bCs w:val="0"/>
        </w:rPr>
        <w:t xml:space="preserve"> </w:t>
      </w:r>
      <w:r w:rsidRPr="00D66D00">
        <w:rPr>
          <w:b w:val="0"/>
          <w:bCs w:val="0"/>
          <w:i/>
        </w:rPr>
        <w:t>holding</w:t>
      </w:r>
      <w:r w:rsidRPr="00447D3F">
        <w:rPr>
          <w:b w:val="0"/>
          <w:bCs w:val="0"/>
        </w:rPr>
        <w:t xml:space="preserve"> nada mais é do que uma socieda</w:t>
      </w:r>
      <w:r>
        <w:rPr>
          <w:b w:val="0"/>
          <w:bCs w:val="0"/>
        </w:rPr>
        <w:t xml:space="preserve">de constituída com o intuito de manter </w:t>
      </w:r>
      <w:r w:rsidRPr="00447D3F">
        <w:rPr>
          <w:b w:val="0"/>
          <w:bCs w:val="0"/>
        </w:rPr>
        <w:t>participação em outras empresas, segundo Silva e Rossi (2017, p. 20).</w:t>
      </w:r>
    </w:p>
    <w:p w14:paraId="790F32E6" w14:textId="77777777" w:rsidR="006769CC" w:rsidRDefault="006769CC" w:rsidP="00396F4D">
      <w:pPr>
        <w:pStyle w:val="tITULOS"/>
        <w:spacing w:before="0" w:line="360" w:lineRule="auto"/>
        <w:ind w:left="0" w:right="0" w:firstLine="708"/>
        <w:rPr>
          <w:b w:val="0"/>
          <w:bCs w:val="0"/>
        </w:rPr>
      </w:pPr>
    </w:p>
    <w:p w14:paraId="57209E4F" w14:textId="77777777" w:rsidR="006769CC" w:rsidRDefault="006769CC" w:rsidP="00396F4D">
      <w:pPr>
        <w:pStyle w:val="tITULOS"/>
        <w:spacing w:line="360" w:lineRule="auto"/>
        <w:ind w:right="0" w:hanging="148"/>
        <w:rPr>
          <w:b w:val="0"/>
          <w:bCs w:val="0"/>
        </w:rPr>
      </w:pPr>
      <w:r w:rsidRPr="00447D3F">
        <w:rPr>
          <w:b w:val="0"/>
          <w:bCs w:val="0"/>
        </w:rPr>
        <w:t>Fernandes (2018) no mesmo sentido esclarece que:</w:t>
      </w:r>
    </w:p>
    <w:p w14:paraId="1966272D" w14:textId="77777777" w:rsidR="006769CC" w:rsidRPr="00447D3F" w:rsidRDefault="006769CC" w:rsidP="006769CC">
      <w:pPr>
        <w:pStyle w:val="tITULOS"/>
        <w:spacing w:line="360" w:lineRule="auto"/>
        <w:ind w:hanging="148"/>
        <w:rPr>
          <w:b w:val="0"/>
          <w:bCs w:val="0"/>
        </w:rPr>
      </w:pPr>
    </w:p>
    <w:p w14:paraId="7EF9A117" w14:textId="77777777" w:rsidR="006769CC" w:rsidRDefault="006769CC" w:rsidP="006769CC">
      <w:pPr>
        <w:pStyle w:val="tITULOS"/>
        <w:spacing w:line="360" w:lineRule="auto"/>
        <w:ind w:left="2268" w:firstLine="0"/>
        <w:rPr>
          <w:b w:val="0"/>
          <w:bCs w:val="0"/>
        </w:rPr>
      </w:pPr>
      <w:r w:rsidRPr="00447D3F">
        <w:rPr>
          <w:b w:val="0"/>
          <w:bCs w:val="0"/>
          <w:i/>
          <w:sz w:val="22"/>
          <w:szCs w:val="22"/>
        </w:rPr>
        <w:t>A legislação brasileira prevê a holding certo tempo, mesmo que não utilize a expressão em si. Na Lei de Sociedade Anônima - 6.404/76, em seu artigo 2º, inciso III, estabelece que "a empresa pode ter por objetivo participar de outras empresas..." Apesar de constar na LSA - 6.404/76, não significa que</w:t>
      </w:r>
      <w:r>
        <w:rPr>
          <w:b w:val="0"/>
          <w:bCs w:val="0"/>
          <w:i/>
          <w:sz w:val="22"/>
          <w:szCs w:val="22"/>
        </w:rPr>
        <w:t xml:space="preserve"> </w:t>
      </w:r>
      <w:r w:rsidRPr="00447D3F">
        <w:rPr>
          <w:b w:val="0"/>
          <w:bCs w:val="0"/>
          <w:i/>
          <w:sz w:val="22"/>
          <w:szCs w:val="22"/>
        </w:rPr>
        <w:t>necessariamente esta empresa cujo objeto social seja participar de outras empresas deve ser uma sociedade anônima, podendo adotar outro tipo societário e constituição. Não existe vedação legal para que a empresa seja constituída como sociedade contratual (quotas) com responsabilidade limitada, ou mesmo outros tipos societários</w:t>
      </w:r>
      <w:r w:rsidRPr="00447D3F">
        <w:rPr>
          <w:b w:val="0"/>
          <w:bCs w:val="0"/>
        </w:rPr>
        <w:t>.</w:t>
      </w:r>
    </w:p>
    <w:p w14:paraId="49A5F4F4" w14:textId="77777777" w:rsidR="006769CC" w:rsidRDefault="006769CC" w:rsidP="006769CC">
      <w:pPr>
        <w:pStyle w:val="tITULOS"/>
        <w:spacing w:before="0" w:line="360" w:lineRule="auto"/>
        <w:ind w:left="0" w:firstLine="0"/>
        <w:rPr>
          <w:b w:val="0"/>
          <w:bCs w:val="0"/>
          <w:i/>
          <w:sz w:val="22"/>
          <w:szCs w:val="22"/>
        </w:rPr>
      </w:pPr>
    </w:p>
    <w:p w14:paraId="7EB30962" w14:textId="77777777" w:rsidR="006769CC" w:rsidRDefault="006769CC" w:rsidP="006769CC">
      <w:pPr>
        <w:pStyle w:val="tITULOS"/>
        <w:spacing w:before="0" w:line="360" w:lineRule="auto"/>
        <w:ind w:left="0" w:firstLine="708"/>
        <w:rPr>
          <w:b w:val="0"/>
          <w:bCs w:val="0"/>
        </w:rPr>
      </w:pPr>
      <w:r>
        <w:rPr>
          <w:b w:val="0"/>
          <w:bCs w:val="0"/>
        </w:rPr>
        <w:t xml:space="preserve"> A “</w:t>
      </w:r>
      <w:r w:rsidRPr="001B05E8">
        <w:rPr>
          <w:b w:val="0"/>
          <w:bCs w:val="0"/>
          <w:i/>
        </w:rPr>
        <w:t>Holding</w:t>
      </w:r>
      <w:r>
        <w:rPr>
          <w:b w:val="0"/>
          <w:bCs w:val="0"/>
        </w:rPr>
        <w:t xml:space="preserve"> familiar”, em tese, não é uma</w:t>
      </w:r>
      <w:r w:rsidRPr="00DA3D81">
        <w:rPr>
          <w:b w:val="0"/>
          <w:bCs w:val="0"/>
        </w:rPr>
        <w:t xml:space="preserve"> espécie de </w:t>
      </w:r>
      <w:r w:rsidRPr="001B05E8">
        <w:rPr>
          <w:b w:val="0"/>
          <w:bCs w:val="0"/>
          <w:i/>
        </w:rPr>
        <w:t>holding</w:t>
      </w:r>
      <w:r>
        <w:rPr>
          <w:b w:val="0"/>
          <w:bCs w:val="0"/>
        </w:rPr>
        <w:t xml:space="preserve"> (pura, mista, de administração ou organização), sendo essa distinção irrelevante. A sua principal característica é ser considerada familiar, em suma, qualquer espécie de </w:t>
      </w:r>
      <w:r w:rsidRPr="001A4F1B">
        <w:rPr>
          <w:b w:val="0"/>
          <w:bCs w:val="0"/>
          <w:i/>
        </w:rPr>
        <w:t>holding</w:t>
      </w:r>
      <w:r>
        <w:rPr>
          <w:b w:val="0"/>
          <w:bCs w:val="0"/>
        </w:rPr>
        <w:t xml:space="preserve"> que seja constituída por membros de uma mesma família, gerindo todo o seu patrimônio.</w:t>
      </w:r>
    </w:p>
    <w:p w14:paraId="357BDF27" w14:textId="77777777" w:rsidR="006769CC" w:rsidRDefault="006769CC" w:rsidP="006769CC">
      <w:pPr>
        <w:pStyle w:val="Corpodetexto"/>
        <w:spacing w:before="195" w:line="360" w:lineRule="auto"/>
        <w:ind w:right="109"/>
        <w:jc w:val="both"/>
      </w:pPr>
      <w:r>
        <w:rPr>
          <w:b w:val="0"/>
          <w:bCs w:val="0"/>
        </w:rPr>
        <w:t xml:space="preserve">   Destarte, </w:t>
      </w:r>
      <w:r>
        <w:rPr>
          <w:b w:val="0"/>
        </w:rPr>
        <w:t xml:space="preserve">este trabalho evidencia as vantagens </w:t>
      </w:r>
      <w:r w:rsidRPr="00E451EC">
        <w:rPr>
          <w:b w:val="0"/>
        </w:rPr>
        <w:t xml:space="preserve">de uma </w:t>
      </w:r>
      <w:r w:rsidRPr="00E451EC">
        <w:rPr>
          <w:b w:val="0"/>
          <w:i/>
        </w:rPr>
        <w:t>holding</w:t>
      </w:r>
      <w:r>
        <w:rPr>
          <w:b w:val="0"/>
        </w:rPr>
        <w:t xml:space="preserve"> familiar</w:t>
      </w:r>
      <w:r w:rsidRPr="00E451EC">
        <w:rPr>
          <w:b w:val="0"/>
        </w:rPr>
        <w:t xml:space="preserve"> por meio da comparação com os métodos tradicionais de sucessão,</w:t>
      </w:r>
      <w:r>
        <w:rPr>
          <w:b w:val="0"/>
        </w:rPr>
        <w:t xml:space="preserve"> </w:t>
      </w:r>
      <w:r w:rsidRPr="00CD7023">
        <w:rPr>
          <w:b w:val="0"/>
        </w:rPr>
        <w:t>que, em tese, elevam os custos fina</w:t>
      </w:r>
      <w:r>
        <w:rPr>
          <w:b w:val="0"/>
        </w:rPr>
        <w:t>n</w:t>
      </w:r>
      <w:r w:rsidRPr="00CD7023">
        <w:rPr>
          <w:b w:val="0"/>
        </w:rPr>
        <w:t xml:space="preserve">ceiros no processo sucessório, sendo eles os </w:t>
      </w:r>
      <w:r>
        <w:rPr>
          <w:b w:val="0"/>
        </w:rPr>
        <w:t>mais usuais, o inventário, testa</w:t>
      </w:r>
      <w:r w:rsidRPr="00CD7023">
        <w:rPr>
          <w:b w:val="0"/>
        </w:rPr>
        <w:t>mento e as doações com reservas de usufrutos</w:t>
      </w:r>
      <w:r>
        <w:rPr>
          <w:b w:val="0"/>
        </w:rPr>
        <w:t xml:space="preserve">. </w:t>
      </w:r>
    </w:p>
    <w:p w14:paraId="6C2C9A08" w14:textId="77777777" w:rsidR="006769CC" w:rsidRDefault="006769CC" w:rsidP="006769CC">
      <w:pPr>
        <w:pStyle w:val="Corpodetexto"/>
        <w:spacing w:before="195" w:line="360" w:lineRule="auto"/>
        <w:ind w:left="221" w:right="109" w:firstLine="708"/>
        <w:jc w:val="both"/>
        <w:rPr>
          <w:b w:val="0"/>
        </w:rPr>
      </w:pPr>
    </w:p>
    <w:p w14:paraId="16C93B58" w14:textId="61C8E032" w:rsidR="006769CC" w:rsidRDefault="00D535FE" w:rsidP="006769CC">
      <w:pPr>
        <w:pStyle w:val="tITULOS"/>
        <w:spacing w:before="0" w:line="360" w:lineRule="auto"/>
        <w:ind w:left="0" w:firstLine="0"/>
        <w:rPr>
          <w:b w:val="0"/>
          <w:bCs w:val="0"/>
        </w:rPr>
      </w:pPr>
      <w:r>
        <w:rPr>
          <w:rFonts w:eastAsiaTheme="minorHAnsi"/>
          <w:b w:val="0"/>
          <w:kern w:val="2"/>
          <w14:ligatures w14:val="standardContextual"/>
        </w:rPr>
        <w:t xml:space="preserve">                                                      </w:t>
      </w:r>
      <w:r w:rsidR="006769CC">
        <w:t xml:space="preserve">     MÉTODO</w:t>
      </w:r>
    </w:p>
    <w:p w14:paraId="40F65EA8" w14:textId="77777777" w:rsidR="006769CC" w:rsidRDefault="006769CC" w:rsidP="006769CC">
      <w:pPr>
        <w:pStyle w:val="Abstract"/>
        <w:spacing w:line="360" w:lineRule="auto"/>
        <w:ind w:right="91"/>
        <w:rPr>
          <w:b w:val="0"/>
          <w:szCs w:val="24"/>
        </w:rPr>
      </w:pPr>
    </w:p>
    <w:p w14:paraId="469A3C01" w14:textId="77777777" w:rsidR="006769CC" w:rsidRPr="00447D3F" w:rsidRDefault="006769CC" w:rsidP="006769CC">
      <w:pPr>
        <w:pStyle w:val="Abstract"/>
        <w:spacing w:line="360" w:lineRule="auto"/>
        <w:ind w:right="91" w:firstLine="708"/>
        <w:rPr>
          <w:b w:val="0"/>
          <w:szCs w:val="24"/>
        </w:rPr>
      </w:pPr>
      <w:r>
        <w:rPr>
          <w:b w:val="0"/>
          <w:szCs w:val="24"/>
        </w:rPr>
        <w:t xml:space="preserve">Por meio do procedimento estudado utiliza-se um trabalho exploratório com base na análise documental e jurídica, através de livros e artigos, a Constituição Federal, o Código Civil e as normas tributárias, complementados por doutrinas de autores como </w:t>
      </w:r>
      <w:proofErr w:type="spellStart"/>
      <w:r>
        <w:rPr>
          <w:b w:val="0"/>
          <w:szCs w:val="24"/>
        </w:rPr>
        <w:t>Gladston</w:t>
      </w:r>
      <w:proofErr w:type="spellEnd"/>
      <w:r>
        <w:rPr>
          <w:b w:val="0"/>
          <w:szCs w:val="24"/>
        </w:rPr>
        <w:t xml:space="preserve"> Mamede e Fábio Pereira da Silva, que oferecem interpretações críticas sobre o referido tema. </w:t>
      </w:r>
    </w:p>
    <w:p w14:paraId="25FCDE90" w14:textId="77777777" w:rsidR="006769CC" w:rsidRDefault="006769CC" w:rsidP="006769CC">
      <w:pPr>
        <w:pStyle w:val="Corpodetexto"/>
        <w:spacing w:before="195" w:line="360" w:lineRule="auto"/>
        <w:ind w:right="109"/>
        <w:jc w:val="both"/>
        <w:rPr>
          <w:b w:val="0"/>
        </w:rPr>
      </w:pPr>
      <w:r>
        <w:rPr>
          <w:rFonts w:eastAsia="Arial"/>
          <w:b w:val="0"/>
          <w:bCs w:val="0"/>
          <w:kern w:val="0"/>
          <w14:ligatures w14:val="none"/>
        </w:rPr>
        <w:t xml:space="preserve">           </w:t>
      </w:r>
      <w:r>
        <w:rPr>
          <w:b w:val="0"/>
        </w:rPr>
        <w:t xml:space="preserve">O </w:t>
      </w:r>
      <w:r w:rsidRPr="00447D3F">
        <w:rPr>
          <w:b w:val="0"/>
        </w:rPr>
        <w:t xml:space="preserve">método </w:t>
      </w:r>
      <w:r>
        <w:rPr>
          <w:b w:val="0"/>
        </w:rPr>
        <w:t xml:space="preserve">incluiu uma revisão bibliográfica sobre o conceito e história da </w:t>
      </w:r>
      <w:r w:rsidRPr="00413EE0">
        <w:rPr>
          <w:b w:val="0"/>
          <w:i/>
        </w:rPr>
        <w:t xml:space="preserve">holding </w:t>
      </w:r>
      <w:r>
        <w:rPr>
          <w:b w:val="0"/>
        </w:rPr>
        <w:t xml:space="preserve">e da </w:t>
      </w:r>
      <w:r w:rsidRPr="00413EE0">
        <w:rPr>
          <w:b w:val="0"/>
          <w:i/>
        </w:rPr>
        <w:t>holding</w:t>
      </w:r>
      <w:r>
        <w:rPr>
          <w:b w:val="0"/>
        </w:rPr>
        <w:t xml:space="preserve"> familiar, no qual, por meio de uma análise crítica sobre essa modalidade, sendo uma </w:t>
      </w:r>
      <w:r w:rsidRPr="00447D3F">
        <w:rPr>
          <w:b w:val="0"/>
        </w:rPr>
        <w:t>alternativa legítima e eficiente ao processo sucessório tradicional que, em tese,</w:t>
      </w:r>
      <w:r>
        <w:rPr>
          <w:b w:val="0"/>
        </w:rPr>
        <w:t xml:space="preserve"> </w:t>
      </w:r>
      <w:r w:rsidRPr="00447D3F">
        <w:rPr>
          <w:b w:val="0"/>
        </w:rPr>
        <w:t>elevam os custos fina</w:t>
      </w:r>
      <w:r>
        <w:rPr>
          <w:b w:val="0"/>
        </w:rPr>
        <w:t>n</w:t>
      </w:r>
      <w:r w:rsidRPr="00447D3F">
        <w:rPr>
          <w:b w:val="0"/>
        </w:rPr>
        <w:t xml:space="preserve">ceiros no processo sucessório, sendo eles os </w:t>
      </w:r>
      <w:r>
        <w:rPr>
          <w:b w:val="0"/>
        </w:rPr>
        <w:t>mais usuais, o inventário, testa</w:t>
      </w:r>
      <w:r w:rsidRPr="00447D3F">
        <w:rPr>
          <w:b w:val="0"/>
        </w:rPr>
        <w:t xml:space="preserve">mento e as doações com reservas de usufrutos. </w:t>
      </w:r>
    </w:p>
    <w:p w14:paraId="1714BFF9" w14:textId="05EEC183" w:rsidR="00396F4D" w:rsidRDefault="006769CC" w:rsidP="006769CC">
      <w:pPr>
        <w:pStyle w:val="Corpodetexto"/>
        <w:spacing w:before="195" w:line="360" w:lineRule="auto"/>
        <w:ind w:right="109"/>
        <w:jc w:val="both"/>
        <w:rPr>
          <w:b w:val="0"/>
        </w:rPr>
      </w:pPr>
      <w:r>
        <w:rPr>
          <w:b w:val="0"/>
        </w:rPr>
        <w:lastRenderedPageBreak/>
        <w:t xml:space="preserve">Infere-se, portanto que, a pesquisa une uma análise teórica com insights práticos que podem demonstrar </w:t>
      </w:r>
      <w:r w:rsidRPr="00D66D00">
        <w:rPr>
          <w:b w:val="0"/>
        </w:rPr>
        <w:t>que a holding familiar possui grande potencial para se consolidar como uma ferramenta comum e eficiente</w:t>
      </w:r>
      <w:r w:rsidR="00D535FE">
        <w:rPr>
          <w:b w:val="0"/>
        </w:rPr>
        <w:t xml:space="preserve"> no planejamento sucessório.</w:t>
      </w:r>
    </w:p>
    <w:p w14:paraId="60AB144B" w14:textId="77777777" w:rsidR="00396F4D" w:rsidRDefault="00396F4D" w:rsidP="006769CC">
      <w:pPr>
        <w:pStyle w:val="Corpodetexto"/>
        <w:spacing w:before="195" w:line="360" w:lineRule="auto"/>
        <w:ind w:right="109"/>
        <w:jc w:val="both"/>
        <w:rPr>
          <w:b w:val="0"/>
        </w:rPr>
      </w:pPr>
    </w:p>
    <w:p w14:paraId="52CE723C" w14:textId="6E339CBF" w:rsidR="006769CC" w:rsidRPr="00F3100F" w:rsidRDefault="006769CC" w:rsidP="006769CC">
      <w:pPr>
        <w:pStyle w:val="Abstract"/>
        <w:spacing w:line="360" w:lineRule="auto"/>
        <w:ind w:right="91"/>
        <w:rPr>
          <w:szCs w:val="24"/>
        </w:rPr>
      </w:pPr>
      <w:r w:rsidRPr="00F3100F">
        <w:t xml:space="preserve">                                     </w:t>
      </w:r>
      <w:r>
        <w:t xml:space="preserve">     </w:t>
      </w:r>
      <w:r w:rsidRPr="00F3100F">
        <w:t>RESULTADOS E DISCUSSÕES</w:t>
      </w:r>
    </w:p>
    <w:p w14:paraId="550145AE" w14:textId="77777777" w:rsidR="006769CC" w:rsidRDefault="006769CC" w:rsidP="001D5BD4">
      <w:pPr>
        <w:pStyle w:val="Abstract"/>
        <w:spacing w:line="360" w:lineRule="auto"/>
        <w:ind w:right="0" w:firstLine="360"/>
        <w:rPr>
          <w:b w:val="0"/>
          <w:szCs w:val="24"/>
        </w:rPr>
      </w:pPr>
    </w:p>
    <w:p w14:paraId="2CDB14E8" w14:textId="7198628B" w:rsidR="006769CC" w:rsidRPr="001D5BD4" w:rsidRDefault="006769CC" w:rsidP="001D5BD4">
      <w:pPr>
        <w:pStyle w:val="Abstract"/>
        <w:spacing w:line="360" w:lineRule="auto"/>
        <w:ind w:right="0" w:firstLine="360"/>
        <w:rPr>
          <w:b w:val="0"/>
          <w:szCs w:val="24"/>
        </w:rPr>
      </w:pPr>
      <w:r w:rsidRPr="001D5BD4">
        <w:rPr>
          <w:b w:val="0"/>
          <w:szCs w:val="24"/>
        </w:rPr>
        <w:t xml:space="preserve">         A holding poderá ser constituída como Sociedade Limitada (LTDA) e Sociedade Anônima (S.A). A escolha entre LTDA e S.A dependerá de fatores como a quantidade de sócios, a necessidade de captação de </w:t>
      </w:r>
      <w:r w:rsidR="00396F4D" w:rsidRPr="001D5BD4">
        <w:rPr>
          <w:b w:val="0"/>
          <w:szCs w:val="24"/>
        </w:rPr>
        <w:t>recursos</w:t>
      </w:r>
      <w:r w:rsidRPr="001D5BD4">
        <w:rPr>
          <w:b w:val="0"/>
          <w:szCs w:val="24"/>
        </w:rPr>
        <w:t xml:space="preserve"> no mercado, e as vantagens ficais ou de governança desejadas.</w:t>
      </w:r>
    </w:p>
    <w:p w14:paraId="58A109E3" w14:textId="34CADC8E" w:rsidR="00396F4D" w:rsidRPr="001D5BD4" w:rsidRDefault="00CD0139" w:rsidP="00CD0139">
      <w:pPr>
        <w:pStyle w:val="Abstract"/>
        <w:tabs>
          <w:tab w:val="left" w:pos="1872"/>
        </w:tabs>
        <w:spacing w:line="360" w:lineRule="auto"/>
        <w:ind w:right="0" w:firstLine="360"/>
        <w:rPr>
          <w:b w:val="0"/>
          <w:szCs w:val="24"/>
        </w:rPr>
      </w:pPr>
      <w:r>
        <w:rPr>
          <w:b w:val="0"/>
          <w:szCs w:val="24"/>
        </w:rPr>
        <w:tab/>
      </w:r>
    </w:p>
    <w:p w14:paraId="6BBDC2F3" w14:textId="77777777" w:rsidR="006769CC" w:rsidRPr="001D5BD4" w:rsidRDefault="006769CC" w:rsidP="001D5BD4">
      <w:pPr>
        <w:pStyle w:val="Abstract"/>
        <w:spacing w:line="360" w:lineRule="auto"/>
        <w:ind w:right="0" w:firstLine="360"/>
        <w:rPr>
          <w:b w:val="0"/>
          <w:szCs w:val="24"/>
        </w:rPr>
      </w:pPr>
      <w:r w:rsidRPr="001D5BD4">
        <w:rPr>
          <w:b w:val="0"/>
          <w:szCs w:val="24"/>
        </w:rPr>
        <w:t xml:space="preserve">A Sociedade Anônima é uma natureza jurídica que tem como principal característica a divisão por ações, ou seja, a participação de cada sócio é limitada ao preço de ações que adquirir, de acordo com o artigo 1.088 do Código Civil, “Na sociedade anônima ou companhia, o capital divide-se em ações, obrigando-se cada sócio ou acionista somente pelo preço de emissão das ações que subscrever ou adquirir.” (BRASIL, 2002). </w:t>
      </w:r>
    </w:p>
    <w:p w14:paraId="2AB238FB" w14:textId="77777777" w:rsidR="00396F4D" w:rsidRPr="001D5BD4" w:rsidRDefault="00396F4D" w:rsidP="001D5BD4">
      <w:pPr>
        <w:pStyle w:val="Abstract"/>
        <w:spacing w:line="360" w:lineRule="auto"/>
        <w:ind w:right="0" w:firstLine="360"/>
        <w:rPr>
          <w:b w:val="0"/>
          <w:szCs w:val="24"/>
        </w:rPr>
      </w:pPr>
    </w:p>
    <w:p w14:paraId="69ECC6BB" w14:textId="3FAD13DF" w:rsidR="006769CC" w:rsidRPr="001D5BD4" w:rsidRDefault="006769CC" w:rsidP="001D5BD4">
      <w:pPr>
        <w:pStyle w:val="Abstract"/>
        <w:spacing w:line="360" w:lineRule="auto"/>
        <w:ind w:right="0" w:firstLine="360"/>
        <w:rPr>
          <w:b w:val="0"/>
          <w:szCs w:val="24"/>
        </w:rPr>
      </w:pPr>
      <w:r w:rsidRPr="001D5BD4">
        <w:rPr>
          <w:b w:val="0"/>
          <w:szCs w:val="24"/>
        </w:rPr>
        <w:t>A Sociedade Limitada é um tipo de estrutura empresarial bastante comum no Brasil, que está regulamentada pelo Código Civil (Lei nº 10.406/2002) nos artigos 1052 a 1087, no qual visa a organização de um negócio com um número limitado de sócios, sendo a responsabilidade de cada um deles restrita ao valor de suas cotas no capital social da empresa, sendo uma das formas jurídicas mais utilizadas devido à sua simplicidade, proteção patrimonial e flexibilidade na gestão, sendo ideal para uma ampla gama de negócios, incluindo a holding familiar, de forma em que os membros da família poderão organizar seus bens de forma eficaz, garantindo uma gestão mais eficiente e protegendo o patrimônio contra riscos externos.</w:t>
      </w:r>
    </w:p>
    <w:p w14:paraId="43F7AC01" w14:textId="77777777" w:rsidR="00396F4D" w:rsidRPr="001D5BD4" w:rsidRDefault="00396F4D" w:rsidP="001D5BD4">
      <w:pPr>
        <w:pStyle w:val="Abstract"/>
        <w:spacing w:line="360" w:lineRule="auto"/>
        <w:ind w:right="0" w:firstLine="360"/>
        <w:rPr>
          <w:b w:val="0"/>
          <w:szCs w:val="24"/>
        </w:rPr>
      </w:pPr>
    </w:p>
    <w:p w14:paraId="5B6BF4FA" w14:textId="6DE03224" w:rsidR="00396F4D" w:rsidRPr="001D5BD4" w:rsidRDefault="006769CC" w:rsidP="001D5BD4">
      <w:pPr>
        <w:pStyle w:val="Abstract"/>
        <w:spacing w:line="360" w:lineRule="auto"/>
        <w:ind w:right="0" w:firstLine="360"/>
        <w:rPr>
          <w:b w:val="0"/>
          <w:szCs w:val="24"/>
        </w:rPr>
      </w:pPr>
      <w:r w:rsidRPr="001D5BD4">
        <w:rPr>
          <w:b w:val="0"/>
          <w:szCs w:val="24"/>
        </w:rPr>
        <w:t>Conforme Silva e Rossi (2017, p. 16), caracteriza-se a holding familiar por ter em vista a proteção ao patrimônio familiar, incluindo também a tutela do sucesso de eventuais empresas pertencentes à família.</w:t>
      </w:r>
    </w:p>
    <w:p w14:paraId="7B1715D2" w14:textId="77777777" w:rsidR="00396F4D" w:rsidRPr="001D5BD4" w:rsidRDefault="00396F4D" w:rsidP="001D5BD4">
      <w:pPr>
        <w:pStyle w:val="Abstract"/>
        <w:spacing w:line="360" w:lineRule="auto"/>
        <w:ind w:right="0" w:firstLine="360"/>
        <w:rPr>
          <w:b w:val="0"/>
          <w:szCs w:val="24"/>
        </w:rPr>
      </w:pPr>
    </w:p>
    <w:p w14:paraId="4EE33D49" w14:textId="74E3C77F" w:rsidR="006769CC" w:rsidRPr="001D5BD4" w:rsidRDefault="006769CC" w:rsidP="001D5BD4">
      <w:pPr>
        <w:pStyle w:val="Abstract"/>
        <w:spacing w:line="360" w:lineRule="auto"/>
        <w:ind w:right="0" w:firstLine="360"/>
        <w:rPr>
          <w:b w:val="0"/>
          <w:szCs w:val="24"/>
        </w:rPr>
      </w:pPr>
      <w:r>
        <w:rPr>
          <w:b w:val="0"/>
          <w:szCs w:val="24"/>
        </w:rPr>
        <w:t xml:space="preserve">  </w:t>
      </w:r>
      <w:r>
        <w:rPr>
          <w:b w:val="0"/>
          <w:szCs w:val="24"/>
        </w:rPr>
        <w:tab/>
      </w:r>
      <w:r w:rsidRPr="001D5BD4">
        <w:rPr>
          <w:b w:val="0"/>
          <w:szCs w:val="24"/>
        </w:rPr>
        <w:t xml:space="preserve">Diferentemente dos métodos de sucessão tradicionais, a holding familiar tornou-se um instrumento bastante eficaz ao possibilitar a transferência do patrimônio aos </w:t>
      </w:r>
      <w:r w:rsidRPr="001D5BD4">
        <w:rPr>
          <w:b w:val="0"/>
          <w:szCs w:val="24"/>
        </w:rPr>
        <w:lastRenderedPageBreak/>
        <w:t xml:space="preserve">herdeiros de forma prévia e organizada, prevenindo conflitos familiares e resultando numa sucessão eficiente na condução dos negócios de eventual empresa que integre o conjunto de bens, como também possibilita a determinação em vida de seus patriarcas do destino dos seus patrimônios. Nesse processo, os herdeiros percebem a complexidade burocrática, os custos envolvidos e as despesas que podem aumentar consideravelmente caso surjam desentendimentos. </w:t>
      </w:r>
    </w:p>
    <w:p w14:paraId="35EF42FE" w14:textId="77777777" w:rsidR="00396F4D" w:rsidRPr="001D5BD4" w:rsidRDefault="00396F4D" w:rsidP="001D5BD4">
      <w:pPr>
        <w:pStyle w:val="Abstract"/>
        <w:spacing w:line="360" w:lineRule="auto"/>
        <w:ind w:right="0" w:firstLine="360"/>
        <w:rPr>
          <w:b w:val="0"/>
          <w:szCs w:val="24"/>
        </w:rPr>
      </w:pPr>
    </w:p>
    <w:p w14:paraId="32BBBBC2" w14:textId="2305FFA1" w:rsidR="006769CC" w:rsidRPr="001D5BD4" w:rsidRDefault="006769CC" w:rsidP="001D5BD4">
      <w:pPr>
        <w:pStyle w:val="Abstract"/>
        <w:spacing w:line="360" w:lineRule="auto"/>
        <w:ind w:right="0" w:firstLine="360"/>
        <w:rPr>
          <w:b w:val="0"/>
          <w:szCs w:val="24"/>
        </w:rPr>
      </w:pPr>
      <w:r w:rsidRPr="001D5BD4">
        <w:rPr>
          <w:b w:val="0"/>
          <w:szCs w:val="24"/>
        </w:rPr>
        <w:t>Uma particularidade bastante atrativa da holding familiar como ferramenta no planejamento sucessório, conforme bem esclarece Mamede (2021, p. 46), é a possibilidade de no ato constitutivo da holding fazer uma doação de cotas ou ações gravadas com cláusula de incomunicabilidade, evitando que sejam alvo de partilha resultante de separação ou divórcio. Atentando-se, porém, ao fato de que a doação compõe a legítima, sendo ainda necessário observar a limitação do art. 1.848 do Código Civil (BRASIL, 2002)</w:t>
      </w:r>
      <w:r w:rsidRPr="001D5BD4">
        <w:rPr>
          <w:b w:val="0"/>
          <w:szCs w:val="24"/>
        </w:rPr>
        <w:footnoteReference w:id="1"/>
      </w:r>
      <w:r w:rsidRPr="001D5BD4">
        <w:rPr>
          <w:b w:val="0"/>
          <w:szCs w:val="24"/>
        </w:rPr>
        <w:t>, ou seja, deve haver justa causa para impedir a alienação, penhora ou comunicação patrimonial.</w:t>
      </w:r>
    </w:p>
    <w:p w14:paraId="2234F5D8" w14:textId="77777777" w:rsidR="00396F4D" w:rsidRPr="001D5BD4" w:rsidRDefault="00396F4D" w:rsidP="001D5BD4">
      <w:pPr>
        <w:pStyle w:val="Abstract"/>
        <w:spacing w:line="360" w:lineRule="auto"/>
        <w:ind w:right="0" w:firstLine="360"/>
        <w:rPr>
          <w:b w:val="0"/>
          <w:szCs w:val="24"/>
        </w:rPr>
      </w:pPr>
    </w:p>
    <w:p w14:paraId="6A56C48E" w14:textId="43D82B1D" w:rsidR="00396F4D" w:rsidRPr="001D5BD4" w:rsidRDefault="006769CC" w:rsidP="001D5BD4">
      <w:pPr>
        <w:pStyle w:val="Abstract"/>
        <w:spacing w:line="360" w:lineRule="auto"/>
        <w:ind w:right="0" w:firstLine="360"/>
        <w:rPr>
          <w:b w:val="0"/>
          <w:szCs w:val="24"/>
        </w:rPr>
      </w:pPr>
      <w:r w:rsidRPr="001D5BD4">
        <w:rPr>
          <w:b w:val="0"/>
          <w:szCs w:val="24"/>
        </w:rPr>
        <w:t>Por oportuno, vale ressaltar que, a holding não está completamente isenta de custos, mas nessa questão, apresenta muitas vantagens, como por exemplo, a blindagem patrimonial contra credores, imunidade no ITBI facilitando a transmissão de bens, redução de riscos administrativos, distribuição de dividendos, planejamento fiscal, também no aspecto sucessório, que em comparação com os outros métodos tradicionais, tendo como exemplo o inventário, que em tese, por muitas vezes a família precisa se desfazer do bem com deságio para arcar com às custas e impostos, que deve ser recolhido previamente.</w:t>
      </w:r>
    </w:p>
    <w:p w14:paraId="561F4480" w14:textId="77777777" w:rsidR="00396F4D" w:rsidRPr="001D5BD4" w:rsidRDefault="00396F4D" w:rsidP="001D5BD4">
      <w:pPr>
        <w:pStyle w:val="Abstract"/>
        <w:spacing w:line="360" w:lineRule="auto"/>
        <w:ind w:right="0" w:firstLine="360"/>
        <w:rPr>
          <w:b w:val="0"/>
          <w:szCs w:val="24"/>
        </w:rPr>
      </w:pPr>
    </w:p>
    <w:p w14:paraId="7CE6A3C6" w14:textId="77777777" w:rsidR="006769CC" w:rsidRPr="001D5BD4" w:rsidRDefault="006769CC" w:rsidP="001D5BD4">
      <w:pPr>
        <w:pStyle w:val="Abstract"/>
        <w:spacing w:line="360" w:lineRule="auto"/>
        <w:ind w:right="0" w:firstLine="360"/>
        <w:rPr>
          <w:b w:val="0"/>
          <w:szCs w:val="24"/>
        </w:rPr>
      </w:pPr>
      <w:r w:rsidRPr="001D5BD4">
        <w:rPr>
          <w:b w:val="0"/>
          <w:szCs w:val="24"/>
        </w:rPr>
        <w:t xml:space="preserve">A priori, o Imposto sobre Transmissão Causa Mortis e Doação é devido sobre a transmissão de bens, mas em determinados casos, a tributação é mais vantajosa quando a transmissão ocorre por meio de participação societária (ações ou quotas) do que por bens imóveis ou outros ativos. </w:t>
      </w:r>
    </w:p>
    <w:p w14:paraId="25D1D2EC" w14:textId="77777777" w:rsidR="00396F4D" w:rsidRPr="001D5BD4" w:rsidRDefault="00396F4D" w:rsidP="001D5BD4">
      <w:pPr>
        <w:pStyle w:val="Abstract"/>
        <w:spacing w:line="360" w:lineRule="auto"/>
        <w:ind w:right="0" w:firstLine="360"/>
        <w:rPr>
          <w:b w:val="0"/>
          <w:szCs w:val="24"/>
        </w:rPr>
      </w:pPr>
    </w:p>
    <w:p w14:paraId="518F4C42" w14:textId="1D0E5CE1" w:rsidR="00396F4D" w:rsidRPr="00396F4D" w:rsidRDefault="006769CC" w:rsidP="00396F4D">
      <w:pPr>
        <w:pStyle w:val="Abstract"/>
        <w:spacing w:line="360" w:lineRule="auto"/>
        <w:ind w:right="0" w:firstLine="360"/>
        <w:rPr>
          <w:b w:val="0"/>
          <w:szCs w:val="24"/>
        </w:rPr>
      </w:pPr>
      <w:r w:rsidRPr="00396F4D">
        <w:rPr>
          <w:b w:val="0"/>
          <w:szCs w:val="24"/>
        </w:rPr>
        <w:t xml:space="preserve">No planejamento sucessório o ITCMD incide apenas sobre o valor das ações ou quotas da holding, podendo ser mais eficiente do que o imposto sobre a transmissão de bens individuais (como imóveis e veículos). Ao realizar doações em vida, haverá a </w:t>
      </w:r>
      <w:r w:rsidRPr="00396F4D">
        <w:rPr>
          <w:b w:val="0"/>
          <w:szCs w:val="24"/>
        </w:rPr>
        <w:lastRenderedPageBreak/>
        <w:t>possibilidade de planejar a sucessão de maneira gradual, reduzindo o impacto tributário do ITCMD, já que o imposto é pago de forma parcelada à medida que as doações são feitas.</w:t>
      </w:r>
    </w:p>
    <w:p w14:paraId="6DCF6199" w14:textId="77777777" w:rsidR="00396F4D" w:rsidRDefault="00396F4D" w:rsidP="00396F4D">
      <w:pPr>
        <w:pStyle w:val="Abstract"/>
        <w:spacing w:line="360" w:lineRule="auto"/>
        <w:ind w:right="0" w:firstLine="360"/>
        <w:rPr>
          <w:b w:val="0"/>
          <w:szCs w:val="24"/>
        </w:rPr>
      </w:pPr>
    </w:p>
    <w:p w14:paraId="21305C76" w14:textId="715FB143" w:rsidR="001D5BD4" w:rsidRDefault="006769CC" w:rsidP="00D535FE">
      <w:pPr>
        <w:pStyle w:val="Abstract"/>
        <w:spacing w:line="360" w:lineRule="auto"/>
        <w:ind w:right="0" w:firstLine="360"/>
        <w:rPr>
          <w:b w:val="0"/>
          <w:szCs w:val="24"/>
        </w:rPr>
      </w:pPr>
      <w:r w:rsidRPr="00396F4D">
        <w:rPr>
          <w:b w:val="0"/>
          <w:szCs w:val="24"/>
        </w:rPr>
        <w:t>Contudo, o estudo difere os métodos de sucessão tradicionais pela holding familiar, onde tornou-se um instrumento bastante eficaz ao possibilitar a transferência do patrimônio aos herdeiros de forma prévia e organizada</w:t>
      </w:r>
      <w:r w:rsidRPr="00814F6F">
        <w:rPr>
          <w:b w:val="0"/>
          <w:szCs w:val="24"/>
        </w:rPr>
        <w:t xml:space="preserve">. Com isso, se tem a </w:t>
      </w:r>
      <w:r w:rsidRPr="00396F4D">
        <w:rPr>
          <w:b w:val="0"/>
          <w:szCs w:val="24"/>
        </w:rPr>
        <w:t>holding</w:t>
      </w:r>
      <w:r w:rsidRPr="00814F6F">
        <w:rPr>
          <w:b w:val="0"/>
          <w:szCs w:val="24"/>
        </w:rPr>
        <w:t xml:space="preserve"> familiar como uma ferramenta eficaz de sucessão sem que haja uma perda tão considerável do patrimônio. </w:t>
      </w:r>
    </w:p>
    <w:p w14:paraId="7255E466" w14:textId="77777777" w:rsidR="001D5BD4" w:rsidRDefault="001D5BD4" w:rsidP="006769CC">
      <w:pPr>
        <w:pStyle w:val="Abstract"/>
        <w:spacing w:line="360" w:lineRule="auto"/>
        <w:ind w:right="91"/>
        <w:rPr>
          <w:b w:val="0"/>
          <w:szCs w:val="24"/>
        </w:rPr>
      </w:pPr>
    </w:p>
    <w:p w14:paraId="7F192953" w14:textId="77777777" w:rsidR="006769CC" w:rsidRDefault="006769CC" w:rsidP="006769CC">
      <w:pPr>
        <w:pStyle w:val="Abstract"/>
        <w:spacing w:line="360" w:lineRule="auto"/>
        <w:ind w:right="91"/>
        <w:rPr>
          <w:b w:val="0"/>
          <w:szCs w:val="24"/>
        </w:rPr>
      </w:pPr>
      <w:r>
        <w:rPr>
          <w:b w:val="0"/>
          <w:szCs w:val="24"/>
        </w:rPr>
        <w:t xml:space="preserve">                               </w:t>
      </w:r>
      <w:r>
        <w:t xml:space="preserve">                      CONCLUSÃO  </w:t>
      </w:r>
    </w:p>
    <w:p w14:paraId="035361DF" w14:textId="77777777" w:rsidR="006769CC" w:rsidRDefault="006769CC" w:rsidP="006769CC">
      <w:pPr>
        <w:pStyle w:val="Abstract"/>
        <w:spacing w:line="360" w:lineRule="auto"/>
        <w:ind w:right="91"/>
        <w:rPr>
          <w:b w:val="0"/>
          <w:szCs w:val="24"/>
        </w:rPr>
      </w:pPr>
    </w:p>
    <w:p w14:paraId="30DE6049" w14:textId="77777777" w:rsidR="006769CC" w:rsidRDefault="006769CC" w:rsidP="006769CC">
      <w:pPr>
        <w:pStyle w:val="Abstract"/>
        <w:spacing w:line="360" w:lineRule="auto"/>
        <w:ind w:right="91"/>
        <w:rPr>
          <w:b w:val="0"/>
          <w:szCs w:val="24"/>
        </w:rPr>
      </w:pPr>
      <w:r>
        <w:rPr>
          <w:b w:val="0"/>
          <w:szCs w:val="24"/>
        </w:rPr>
        <w:tab/>
      </w:r>
    </w:p>
    <w:p w14:paraId="22D33B07" w14:textId="65CDA3B6" w:rsidR="006769CC" w:rsidRDefault="006769CC" w:rsidP="00396F4D">
      <w:pPr>
        <w:pStyle w:val="Abstract"/>
        <w:spacing w:line="360" w:lineRule="auto"/>
        <w:ind w:right="0" w:firstLine="360"/>
        <w:rPr>
          <w:b w:val="0"/>
          <w:szCs w:val="24"/>
        </w:rPr>
      </w:pPr>
      <w:r>
        <w:rPr>
          <w:b w:val="0"/>
          <w:szCs w:val="24"/>
        </w:rPr>
        <w:t xml:space="preserve">A conclusão do trabalho reforça </w:t>
      </w:r>
      <w:r w:rsidRPr="00240D56">
        <w:rPr>
          <w:b w:val="0"/>
          <w:szCs w:val="24"/>
        </w:rPr>
        <w:t xml:space="preserve">que a </w:t>
      </w:r>
      <w:r w:rsidRPr="00240D56">
        <w:rPr>
          <w:b w:val="0"/>
          <w:i/>
          <w:iCs/>
          <w:szCs w:val="24"/>
        </w:rPr>
        <w:t>holding</w:t>
      </w:r>
      <w:r w:rsidRPr="00240D56">
        <w:rPr>
          <w:b w:val="0"/>
          <w:szCs w:val="24"/>
        </w:rPr>
        <w:t xml:space="preserve"> familiar, é uma ferramenta v</w:t>
      </w:r>
      <w:r>
        <w:rPr>
          <w:b w:val="0"/>
          <w:szCs w:val="24"/>
        </w:rPr>
        <w:t>antajosa, especialmente por seus diversos benefícios</w:t>
      </w:r>
      <w:r w:rsidRPr="00240D56">
        <w:rPr>
          <w:b w:val="0"/>
          <w:szCs w:val="24"/>
        </w:rPr>
        <w:t xml:space="preserve"> fiscais, tributárias e pela proteção patrimonial que oferece, respaldada pela legislação. </w:t>
      </w:r>
    </w:p>
    <w:p w14:paraId="7AC855F1" w14:textId="77777777" w:rsidR="00396F4D" w:rsidRPr="00240D56" w:rsidRDefault="00396F4D" w:rsidP="00396F4D">
      <w:pPr>
        <w:pStyle w:val="Abstract"/>
        <w:spacing w:line="360" w:lineRule="auto"/>
        <w:ind w:right="0" w:firstLine="360"/>
        <w:rPr>
          <w:b w:val="0"/>
          <w:szCs w:val="24"/>
        </w:rPr>
      </w:pPr>
    </w:p>
    <w:p w14:paraId="1C8C3251" w14:textId="77777777" w:rsidR="006769CC" w:rsidRDefault="006769CC" w:rsidP="00396F4D">
      <w:pPr>
        <w:pStyle w:val="Abstract"/>
        <w:spacing w:line="360" w:lineRule="auto"/>
        <w:ind w:right="0" w:firstLine="360"/>
        <w:rPr>
          <w:b w:val="0"/>
          <w:szCs w:val="24"/>
        </w:rPr>
      </w:pPr>
      <w:r w:rsidRPr="00240D56">
        <w:rPr>
          <w:b w:val="0"/>
          <w:szCs w:val="24"/>
        </w:rPr>
        <w:t>A pesquisa revela que o modelo societário mais comum para a constituição de holdings familiares é a sociedade limitada, embora outros tipos societários também sejam viáveis. A blindagem patrimonial e a elisão fiscal se destacam como benefícios importantes, permitindo reduzir custos tributários de forma lícita. Ressalta-se, no entanto, que a holding familiar não é isenta de tributos, mas possibilita a diminuição dos custos fiscais, operacionais e financeiros dentro dos limites legais.</w:t>
      </w:r>
    </w:p>
    <w:p w14:paraId="49731ECC" w14:textId="77777777" w:rsidR="006769CC" w:rsidRDefault="006769CC" w:rsidP="00396F4D">
      <w:pPr>
        <w:pStyle w:val="Abstract"/>
        <w:spacing w:line="360" w:lineRule="auto"/>
        <w:ind w:right="0"/>
        <w:rPr>
          <w:b w:val="0"/>
          <w:szCs w:val="24"/>
        </w:rPr>
      </w:pPr>
    </w:p>
    <w:p w14:paraId="60715BFD" w14:textId="77777777" w:rsidR="006769CC" w:rsidRDefault="006769CC" w:rsidP="00396F4D">
      <w:pPr>
        <w:pStyle w:val="Abstract"/>
        <w:spacing w:line="360" w:lineRule="auto"/>
        <w:ind w:right="0" w:firstLine="360"/>
        <w:rPr>
          <w:b w:val="0"/>
        </w:rPr>
      </w:pPr>
      <w:r w:rsidRPr="00CC25CE">
        <w:rPr>
          <w:b w:val="0"/>
        </w:rPr>
        <w:t xml:space="preserve">Por meio da </w:t>
      </w:r>
      <w:r w:rsidRPr="00CC25CE">
        <w:rPr>
          <w:b w:val="0"/>
          <w:i/>
        </w:rPr>
        <w:t>holding</w:t>
      </w:r>
      <w:r w:rsidRPr="00CC25CE">
        <w:rPr>
          <w:b w:val="0"/>
        </w:rPr>
        <w:t xml:space="preserve"> familiar, é possível implemen</w:t>
      </w:r>
      <w:r>
        <w:rPr>
          <w:b w:val="0"/>
        </w:rPr>
        <w:t xml:space="preserve">tar um planejamento </w:t>
      </w:r>
      <w:r w:rsidRPr="00CC25CE">
        <w:rPr>
          <w:b w:val="0"/>
        </w:rPr>
        <w:t>sucessório e tributário mais detalhado e respaldado pela legislação vigente, com o objetivo de reduzir os diversos riscos associados à gestão da atividade empresarial, além de evitar os contratempos relacionados à sucessão de bens e otimizar a estrutura fiscal, o que resulta na redução da carga tributária</w:t>
      </w:r>
      <w:r>
        <w:rPr>
          <w:b w:val="0"/>
        </w:rPr>
        <w:t xml:space="preserve">. </w:t>
      </w:r>
    </w:p>
    <w:p w14:paraId="77E2D79E" w14:textId="77777777" w:rsidR="006769CC" w:rsidRDefault="006769CC" w:rsidP="00396F4D">
      <w:pPr>
        <w:pStyle w:val="Abstract"/>
        <w:spacing w:line="360" w:lineRule="auto"/>
        <w:ind w:right="0" w:firstLine="360"/>
        <w:rPr>
          <w:b w:val="0"/>
        </w:rPr>
      </w:pPr>
    </w:p>
    <w:p w14:paraId="5476B904" w14:textId="77777777" w:rsidR="006769CC" w:rsidRDefault="006769CC" w:rsidP="00396F4D">
      <w:pPr>
        <w:pStyle w:val="Abstract"/>
        <w:spacing w:line="360" w:lineRule="auto"/>
        <w:ind w:right="0" w:firstLine="360"/>
        <w:rPr>
          <w:b w:val="0"/>
          <w:szCs w:val="24"/>
        </w:rPr>
      </w:pPr>
      <w:r>
        <w:rPr>
          <w:b w:val="0"/>
          <w:szCs w:val="24"/>
        </w:rPr>
        <w:t>C</w:t>
      </w:r>
      <w:r w:rsidRPr="00240D56">
        <w:rPr>
          <w:b w:val="0"/>
          <w:szCs w:val="24"/>
        </w:rPr>
        <w:t>onclui-se, com base neste estudo, que a holding familiar possui grande potencial para se consolidar como uma ferramenta comum e eficiente, destacando-se como o principal instrumento de planejamento sucessório em um futuro próximo.</w:t>
      </w:r>
    </w:p>
    <w:p w14:paraId="6D5C886E" w14:textId="77777777" w:rsidR="00396F4D" w:rsidRDefault="00396F4D" w:rsidP="00396F4D">
      <w:pPr>
        <w:pStyle w:val="Abstract"/>
        <w:spacing w:line="360" w:lineRule="auto"/>
        <w:ind w:right="0" w:firstLine="360"/>
        <w:rPr>
          <w:b w:val="0"/>
          <w:szCs w:val="24"/>
        </w:rPr>
      </w:pPr>
    </w:p>
    <w:p w14:paraId="5FDD8A4B" w14:textId="77777777" w:rsidR="00396F4D" w:rsidRDefault="00396F4D" w:rsidP="001D5BD4">
      <w:pPr>
        <w:pStyle w:val="Abstract"/>
        <w:spacing w:line="360" w:lineRule="auto"/>
        <w:ind w:right="0"/>
        <w:rPr>
          <w:b w:val="0"/>
          <w:szCs w:val="24"/>
        </w:rPr>
      </w:pPr>
    </w:p>
    <w:p w14:paraId="5F58C87A" w14:textId="77777777" w:rsidR="001D5BD4" w:rsidRDefault="001D5BD4" w:rsidP="001D5BD4">
      <w:pPr>
        <w:pStyle w:val="Abstract"/>
        <w:spacing w:line="360" w:lineRule="auto"/>
        <w:ind w:right="0"/>
        <w:rPr>
          <w:b w:val="0"/>
          <w:szCs w:val="24"/>
        </w:rPr>
      </w:pPr>
    </w:p>
    <w:p w14:paraId="4F923839" w14:textId="77777777" w:rsidR="00396F4D" w:rsidRDefault="00396F4D" w:rsidP="00396F4D">
      <w:pPr>
        <w:pStyle w:val="Abstract"/>
        <w:spacing w:line="360" w:lineRule="auto"/>
        <w:ind w:right="0" w:firstLine="360"/>
        <w:rPr>
          <w:b w:val="0"/>
          <w:szCs w:val="24"/>
        </w:rPr>
      </w:pPr>
    </w:p>
    <w:p w14:paraId="2A1890DC" w14:textId="03758CA6" w:rsidR="00E9372E" w:rsidRPr="006769CC" w:rsidRDefault="00E9372E" w:rsidP="00E9372E">
      <w:pPr>
        <w:pStyle w:val="tITULOS"/>
        <w:spacing w:before="0" w:line="360" w:lineRule="auto"/>
        <w:ind w:left="0" w:firstLine="1701"/>
        <w:rPr>
          <w:b w:val="0"/>
          <w:bCs w:val="0"/>
        </w:rPr>
      </w:pPr>
      <w:r>
        <w:t xml:space="preserve">               REFERÊNCIA BIBLIOGRÁ</w:t>
      </w:r>
      <w:r w:rsidRPr="00D127C6">
        <w:t>FICA</w:t>
      </w:r>
    </w:p>
    <w:p w14:paraId="0B7A2044" w14:textId="77777777" w:rsidR="00E9372E" w:rsidRDefault="00E9372E" w:rsidP="00E9372E">
      <w:pPr>
        <w:pStyle w:val="tITULOS"/>
        <w:spacing w:line="360" w:lineRule="auto"/>
        <w:ind w:left="0" w:firstLine="0"/>
        <w:rPr>
          <w:b w:val="0"/>
          <w:bCs w:val="0"/>
        </w:rPr>
      </w:pPr>
    </w:p>
    <w:p w14:paraId="67348A19" w14:textId="77777777" w:rsidR="00E9372E" w:rsidRDefault="00E9372E" w:rsidP="00E9372E">
      <w:pPr>
        <w:pStyle w:val="tITULOS"/>
        <w:spacing w:line="360" w:lineRule="auto"/>
        <w:ind w:firstLine="0"/>
        <w:rPr>
          <w:b w:val="0"/>
          <w:bCs w:val="0"/>
        </w:rPr>
      </w:pPr>
    </w:p>
    <w:p w14:paraId="65579FBD" w14:textId="77777777" w:rsidR="002A1D51" w:rsidRPr="00396F4D" w:rsidRDefault="002A1D51" w:rsidP="00396F4D">
      <w:pPr>
        <w:pStyle w:val="tITULOS"/>
        <w:spacing w:line="360" w:lineRule="auto"/>
        <w:ind w:left="113" w:firstLine="0"/>
        <w:rPr>
          <w:b w:val="0"/>
          <w:bCs w:val="0"/>
        </w:rPr>
      </w:pPr>
      <w:r w:rsidRPr="00396F4D">
        <w:rPr>
          <w:b w:val="0"/>
          <w:bCs w:val="0"/>
        </w:rPr>
        <w:t xml:space="preserve">ARRUDA, </w:t>
      </w:r>
      <w:proofErr w:type="spellStart"/>
      <w:r w:rsidRPr="00396F4D">
        <w:rPr>
          <w:b w:val="0"/>
          <w:bCs w:val="0"/>
        </w:rPr>
        <w:t>Milviane</w:t>
      </w:r>
      <w:proofErr w:type="spellEnd"/>
      <w:r w:rsidRPr="00396F4D">
        <w:rPr>
          <w:b w:val="0"/>
          <w:bCs w:val="0"/>
        </w:rPr>
        <w:t xml:space="preserve">. Inventário extrajudicial. Revista Jus </w:t>
      </w:r>
      <w:proofErr w:type="spellStart"/>
      <w:r w:rsidRPr="00396F4D">
        <w:rPr>
          <w:b w:val="0"/>
          <w:bCs w:val="0"/>
        </w:rPr>
        <w:t>Navigandi</w:t>
      </w:r>
      <w:proofErr w:type="spellEnd"/>
      <w:r w:rsidRPr="00396F4D">
        <w:rPr>
          <w:b w:val="0"/>
          <w:bCs w:val="0"/>
        </w:rPr>
        <w:t xml:space="preserve">, Teresina, 2017. Disponível em: &lt;https://jus.com.br/artigos/58358&gt;. </w:t>
      </w:r>
    </w:p>
    <w:p w14:paraId="2520A9AE" w14:textId="77777777" w:rsidR="00E9372E" w:rsidRDefault="00E9372E" w:rsidP="00396F4D">
      <w:pPr>
        <w:pStyle w:val="tITULOS"/>
        <w:spacing w:line="360" w:lineRule="auto"/>
        <w:ind w:left="0" w:firstLine="0"/>
        <w:rPr>
          <w:b w:val="0"/>
          <w:bCs w:val="0"/>
        </w:rPr>
      </w:pPr>
    </w:p>
    <w:p w14:paraId="711A47A2" w14:textId="77777777" w:rsidR="00E9372E" w:rsidRPr="0027008D" w:rsidRDefault="00E9372E" w:rsidP="00E9372E">
      <w:pPr>
        <w:pStyle w:val="tITULOS"/>
        <w:spacing w:line="360" w:lineRule="auto"/>
        <w:ind w:left="113" w:firstLine="0"/>
        <w:rPr>
          <w:b w:val="0"/>
          <w:bCs w:val="0"/>
        </w:rPr>
      </w:pPr>
      <w:r w:rsidRPr="0027008D">
        <w:rPr>
          <w:b w:val="0"/>
          <w:bCs w:val="0"/>
        </w:rPr>
        <w:t>BRASIL. Constituição (1988). Constituição da República Federativa do Brasil.</w:t>
      </w:r>
    </w:p>
    <w:p w14:paraId="183B0BE0" w14:textId="77777777" w:rsidR="00E9372E" w:rsidRDefault="00E9372E" w:rsidP="00E9372E">
      <w:pPr>
        <w:pStyle w:val="tITULOS"/>
        <w:spacing w:line="360" w:lineRule="auto"/>
        <w:ind w:left="113" w:firstLine="0"/>
        <w:rPr>
          <w:b w:val="0"/>
          <w:bCs w:val="0"/>
        </w:rPr>
      </w:pPr>
      <w:proofErr w:type="spellStart"/>
      <w:r w:rsidRPr="0027008D">
        <w:rPr>
          <w:b w:val="0"/>
          <w:bCs w:val="0"/>
        </w:rPr>
        <w:t>Brasilia</w:t>
      </w:r>
      <w:proofErr w:type="spellEnd"/>
      <w:r w:rsidRPr="0027008D">
        <w:rPr>
          <w:b w:val="0"/>
          <w:bCs w:val="0"/>
        </w:rPr>
        <w:t>, DF: Presidência da República, 1988. Disponível em:</w:t>
      </w:r>
      <w:r>
        <w:rPr>
          <w:b w:val="0"/>
          <w:bCs w:val="0"/>
        </w:rPr>
        <w:t xml:space="preserve"> </w:t>
      </w:r>
      <w:hyperlink r:id="rId10" w:history="1">
        <w:r w:rsidRPr="00F47A7F">
          <w:rPr>
            <w:rStyle w:val="Hyperlink"/>
            <w:b w:val="0"/>
            <w:bCs w:val="0"/>
          </w:rPr>
          <w:t>http://www.planalto.gov.br/ccivil_03/constituicao/constituicao.htm</w:t>
        </w:r>
      </w:hyperlink>
      <w:r w:rsidRPr="0027008D">
        <w:rPr>
          <w:b w:val="0"/>
          <w:bCs w:val="0"/>
        </w:rPr>
        <w:t>.</w:t>
      </w:r>
    </w:p>
    <w:p w14:paraId="2C434F8B" w14:textId="77777777" w:rsidR="00E9372E" w:rsidRDefault="00E9372E" w:rsidP="00E9372E">
      <w:pPr>
        <w:pStyle w:val="tITULOS"/>
        <w:spacing w:line="360" w:lineRule="auto"/>
        <w:ind w:left="113" w:firstLine="0"/>
        <w:rPr>
          <w:b w:val="0"/>
          <w:bCs w:val="0"/>
        </w:rPr>
      </w:pPr>
    </w:p>
    <w:p w14:paraId="2D4F3FB2" w14:textId="77777777" w:rsidR="00E9372E" w:rsidRDefault="00E9372E" w:rsidP="00E9372E">
      <w:pPr>
        <w:pStyle w:val="tITULOS"/>
        <w:spacing w:line="360" w:lineRule="auto"/>
        <w:ind w:left="113" w:firstLine="0"/>
        <w:rPr>
          <w:b w:val="0"/>
          <w:bCs w:val="0"/>
        </w:rPr>
      </w:pPr>
      <w:r w:rsidRPr="0027008D">
        <w:rPr>
          <w:b w:val="0"/>
          <w:bCs w:val="0"/>
        </w:rPr>
        <w:t>BRASIL. Lei 9.430/96. Dispõe sobre a legislação tributária federal, as contribuiçõe</w:t>
      </w:r>
      <w:r>
        <w:rPr>
          <w:b w:val="0"/>
          <w:bCs w:val="0"/>
        </w:rPr>
        <w:t xml:space="preserve">s </w:t>
      </w:r>
      <w:r w:rsidRPr="0027008D">
        <w:rPr>
          <w:b w:val="0"/>
          <w:bCs w:val="0"/>
        </w:rPr>
        <w:t>para a seguridade social, o processo administrativo de consulta. Disponível em:</w:t>
      </w:r>
      <w:r>
        <w:rPr>
          <w:b w:val="0"/>
          <w:bCs w:val="0"/>
        </w:rPr>
        <w:t xml:space="preserve"> </w:t>
      </w:r>
      <w:hyperlink r:id="rId11" w:history="1">
        <w:r w:rsidRPr="00F47A7F">
          <w:rPr>
            <w:rStyle w:val="Hyperlink"/>
            <w:b w:val="0"/>
            <w:bCs w:val="0"/>
          </w:rPr>
          <w:t>http://www.planalto.gov.br/ccivil_03/leis/l9430.htm</w:t>
        </w:r>
      </w:hyperlink>
      <w:r>
        <w:rPr>
          <w:b w:val="0"/>
          <w:bCs w:val="0"/>
        </w:rPr>
        <w:t>.</w:t>
      </w:r>
    </w:p>
    <w:p w14:paraId="544B4BFB" w14:textId="77777777" w:rsidR="00E9372E" w:rsidRDefault="00E9372E" w:rsidP="00E9372E">
      <w:pPr>
        <w:pStyle w:val="tITULOS"/>
        <w:spacing w:line="360" w:lineRule="auto"/>
        <w:ind w:left="113" w:firstLine="0"/>
        <w:rPr>
          <w:b w:val="0"/>
          <w:bCs w:val="0"/>
        </w:rPr>
      </w:pPr>
    </w:p>
    <w:p w14:paraId="67AEBE7D" w14:textId="77777777" w:rsidR="00E9372E" w:rsidRDefault="00E9372E" w:rsidP="00E9372E">
      <w:pPr>
        <w:pStyle w:val="tITULOS"/>
        <w:spacing w:line="360" w:lineRule="auto"/>
        <w:ind w:left="113" w:firstLine="0"/>
        <w:rPr>
          <w:b w:val="0"/>
          <w:bCs w:val="0"/>
        </w:rPr>
      </w:pPr>
      <w:r w:rsidRPr="0027008D">
        <w:rPr>
          <w:b w:val="0"/>
          <w:bCs w:val="0"/>
        </w:rPr>
        <w:t>BRASIL. Lei 9.718/88. Altera a Legislação Tributária Federal. Disponível em:</w:t>
      </w:r>
      <w:r>
        <w:rPr>
          <w:b w:val="0"/>
          <w:bCs w:val="0"/>
        </w:rPr>
        <w:t xml:space="preserve"> </w:t>
      </w:r>
      <w:hyperlink r:id="rId12" w:history="1">
        <w:r w:rsidRPr="00F47A7F">
          <w:rPr>
            <w:rStyle w:val="Hyperlink"/>
            <w:b w:val="0"/>
            <w:bCs w:val="0"/>
          </w:rPr>
          <w:t>http://www.planalto.gov.br/ccivil_03/leis/l9718compilada.htm</w:t>
        </w:r>
      </w:hyperlink>
      <w:r w:rsidRPr="0027008D">
        <w:rPr>
          <w:b w:val="0"/>
          <w:bCs w:val="0"/>
        </w:rPr>
        <w:t xml:space="preserve">. </w:t>
      </w:r>
    </w:p>
    <w:p w14:paraId="5F92BF23" w14:textId="77777777" w:rsidR="002A1D51" w:rsidRDefault="002A1D51" w:rsidP="002A1D51">
      <w:pPr>
        <w:spacing w:line="360" w:lineRule="auto"/>
        <w:jc w:val="both"/>
        <w:rPr>
          <w:sz w:val="24"/>
          <w:szCs w:val="24"/>
        </w:rPr>
      </w:pPr>
    </w:p>
    <w:p w14:paraId="6DDEB9BF" w14:textId="1A17A88C" w:rsidR="002A1D51" w:rsidRPr="00396F4D" w:rsidRDefault="002A1D51" w:rsidP="00396F4D">
      <w:pPr>
        <w:spacing w:line="360" w:lineRule="auto"/>
        <w:ind w:left="142"/>
        <w:jc w:val="both"/>
        <w:rPr>
          <w:rFonts w:ascii="Arial" w:eastAsia="Arial" w:hAnsi="Arial" w:cs="Arial"/>
          <w:kern w:val="0"/>
          <w:sz w:val="24"/>
          <w:szCs w:val="24"/>
          <w14:ligatures w14:val="none"/>
        </w:rPr>
      </w:pPr>
      <w:r w:rsidRPr="00396F4D">
        <w:rPr>
          <w:rFonts w:ascii="Arial" w:eastAsia="Arial" w:hAnsi="Arial" w:cs="Arial"/>
          <w:kern w:val="0"/>
          <w:sz w:val="24"/>
          <w:szCs w:val="24"/>
          <w14:ligatures w14:val="none"/>
        </w:rPr>
        <w:t xml:space="preserve">MAMEDE, </w:t>
      </w:r>
      <w:proofErr w:type="spellStart"/>
      <w:r w:rsidRPr="00396F4D">
        <w:rPr>
          <w:rFonts w:ascii="Arial" w:eastAsia="Arial" w:hAnsi="Arial" w:cs="Arial"/>
          <w:kern w:val="0"/>
          <w:sz w:val="24"/>
          <w:szCs w:val="24"/>
          <w14:ligatures w14:val="none"/>
        </w:rPr>
        <w:t>Gladston</w:t>
      </w:r>
      <w:proofErr w:type="spellEnd"/>
      <w:r w:rsidRPr="00396F4D">
        <w:rPr>
          <w:rFonts w:ascii="Arial" w:eastAsia="Arial" w:hAnsi="Arial" w:cs="Arial"/>
          <w:kern w:val="0"/>
          <w:sz w:val="24"/>
          <w:szCs w:val="24"/>
          <w14:ligatures w14:val="none"/>
        </w:rPr>
        <w:t xml:space="preserve">; MAMEDE, Eduarda Cotta. Holding Familiar e suas Vantagens. </w:t>
      </w:r>
      <w:r w:rsidR="00396F4D">
        <w:rPr>
          <w:rFonts w:ascii="Arial" w:eastAsia="Arial" w:hAnsi="Arial" w:cs="Arial"/>
          <w:kern w:val="0"/>
          <w:sz w:val="24"/>
          <w:szCs w:val="24"/>
          <w14:ligatures w14:val="none"/>
        </w:rPr>
        <w:t xml:space="preserve">  </w:t>
      </w:r>
      <w:r w:rsidRPr="00396F4D">
        <w:rPr>
          <w:rFonts w:ascii="Arial" w:eastAsia="Arial" w:hAnsi="Arial" w:cs="Arial"/>
          <w:kern w:val="0"/>
          <w:sz w:val="24"/>
          <w:szCs w:val="24"/>
          <w14:ligatures w14:val="none"/>
        </w:rPr>
        <w:t>12. ed. São Paulo: Atlas, 2020. Disponível em:</w:t>
      </w:r>
    </w:p>
    <w:p w14:paraId="1F4AAF17" w14:textId="1488CFA6" w:rsidR="002A1D51" w:rsidRPr="00396F4D" w:rsidRDefault="00FC4B70" w:rsidP="00396F4D">
      <w:pPr>
        <w:pStyle w:val="tITULOS"/>
        <w:spacing w:line="360" w:lineRule="auto"/>
        <w:ind w:left="142" w:firstLine="0"/>
        <w:rPr>
          <w:rStyle w:val="Hyperlink"/>
        </w:rPr>
      </w:pPr>
      <w:hyperlink r:id="rId13" w:history="1">
        <w:r w:rsidR="002A1D51" w:rsidRPr="00396F4D">
          <w:rPr>
            <w:rStyle w:val="Hyperlink"/>
            <w:b w:val="0"/>
            <w:bCs w:val="0"/>
          </w:rPr>
          <w:t>https://www.academia.edu/44005667/Holding_Familiar_e_Suas_Vantagens_Gladston_Mamede</w:t>
        </w:r>
      </w:hyperlink>
    </w:p>
    <w:p w14:paraId="51F2644B" w14:textId="77777777" w:rsidR="00E9372E" w:rsidRDefault="00E9372E" w:rsidP="00396F4D">
      <w:pPr>
        <w:pStyle w:val="tITULOS"/>
        <w:spacing w:before="0" w:line="360" w:lineRule="auto"/>
        <w:ind w:left="142" w:firstLine="0"/>
        <w:rPr>
          <w:b w:val="0"/>
          <w:bCs w:val="0"/>
        </w:rPr>
      </w:pPr>
    </w:p>
    <w:p w14:paraId="5C5B31E4" w14:textId="7A76AD0C" w:rsidR="002A1D51" w:rsidRPr="00396F4D" w:rsidRDefault="002A1D51" w:rsidP="00396F4D">
      <w:pPr>
        <w:spacing w:line="360" w:lineRule="auto"/>
        <w:ind w:left="142"/>
        <w:jc w:val="both"/>
        <w:rPr>
          <w:rFonts w:ascii="Arial" w:eastAsia="Arial" w:hAnsi="Arial" w:cs="Arial"/>
          <w:kern w:val="0"/>
          <w:sz w:val="24"/>
          <w:szCs w:val="24"/>
          <w14:ligatures w14:val="none"/>
        </w:rPr>
      </w:pPr>
      <w:r w:rsidRPr="00396F4D">
        <w:rPr>
          <w:rFonts w:ascii="Arial" w:eastAsia="Arial" w:hAnsi="Arial" w:cs="Arial"/>
          <w:kern w:val="0"/>
          <w:sz w:val="24"/>
          <w:szCs w:val="24"/>
          <w14:ligatures w14:val="none"/>
        </w:rPr>
        <w:t>SILVA, Fabio Pereira da; ROSSI, Alexandre Alves. Holding Familiar: Visão jurídica do planejamento societário, sucessório e tributário. 2.ed. São Paulo: Trevisan, 2017.</w:t>
      </w:r>
    </w:p>
    <w:p w14:paraId="3E8D7970" w14:textId="77777777" w:rsidR="001D5BD4" w:rsidRDefault="002A1D51" w:rsidP="001D5BD4">
      <w:pPr>
        <w:spacing w:line="360" w:lineRule="auto"/>
        <w:ind w:left="142"/>
        <w:jc w:val="both"/>
        <w:rPr>
          <w:rFonts w:ascii="Arial" w:hAnsi="Arial" w:cs="Arial"/>
          <w:sz w:val="24"/>
          <w:szCs w:val="24"/>
        </w:rPr>
      </w:pPr>
      <w:r w:rsidRPr="00396F4D">
        <w:rPr>
          <w:rFonts w:ascii="Arial" w:eastAsia="Arial" w:hAnsi="Arial" w:cs="Arial"/>
          <w:kern w:val="0"/>
          <w:sz w:val="24"/>
          <w:szCs w:val="24"/>
          <w14:ligatures w14:val="none"/>
        </w:rPr>
        <w:t>Livro</w:t>
      </w:r>
      <w:r w:rsidR="001D5BD4">
        <w:rPr>
          <w:rFonts w:ascii="Arial" w:eastAsia="Arial" w:hAnsi="Arial" w:cs="Arial"/>
          <w:kern w:val="0"/>
          <w:sz w:val="24"/>
          <w:szCs w:val="24"/>
          <w14:ligatures w14:val="none"/>
        </w:rPr>
        <w:t xml:space="preserve"> </w:t>
      </w:r>
      <w:r w:rsidRPr="00396F4D">
        <w:rPr>
          <w:rFonts w:ascii="Arial" w:eastAsia="Arial" w:hAnsi="Arial" w:cs="Arial"/>
          <w:kern w:val="0"/>
          <w:sz w:val="24"/>
          <w:szCs w:val="24"/>
          <w14:ligatures w14:val="none"/>
        </w:rPr>
        <w:t>físico.</w:t>
      </w:r>
      <w:r w:rsidRPr="002A1D51">
        <w:rPr>
          <w:rFonts w:ascii="Arial" w:hAnsi="Arial" w:cs="Arial"/>
          <w:sz w:val="24"/>
          <w:szCs w:val="24"/>
        </w:rPr>
        <w:t xml:space="preserve"> </w:t>
      </w:r>
    </w:p>
    <w:p w14:paraId="4BE1D61E" w14:textId="4A825204" w:rsidR="00B30467" w:rsidRPr="001D5BD4" w:rsidRDefault="00FC4B70" w:rsidP="001D5BD4">
      <w:pPr>
        <w:spacing w:line="360" w:lineRule="auto"/>
        <w:ind w:left="142"/>
        <w:jc w:val="both"/>
        <w:rPr>
          <w:rFonts w:ascii="Arial" w:hAnsi="Arial" w:cs="Arial"/>
          <w:sz w:val="24"/>
          <w:szCs w:val="24"/>
          <w:lang w:val="pt-PT"/>
        </w:rPr>
        <w:sectPr w:rsidR="00B30467" w:rsidRPr="001D5BD4">
          <w:pgSz w:w="11910" w:h="16850"/>
          <w:pgMar w:top="1960" w:right="1020" w:bottom="280" w:left="1480" w:header="1708" w:footer="0" w:gutter="0"/>
          <w:cols w:space="720"/>
        </w:sectPr>
      </w:pPr>
      <w:hyperlink r:id="rId14" w:history="1">
        <w:r w:rsidR="001D5BD4" w:rsidRPr="00D7749D">
          <w:rPr>
            <w:rStyle w:val="Hyperlink"/>
            <w:rFonts w:ascii="Arial" w:hAnsi="Arial" w:cs="Arial"/>
            <w:sz w:val="24"/>
            <w:szCs w:val="24"/>
          </w:rPr>
          <w:t>https://www.trevisaneditora.com.br/produto?id=50</w:t>
        </w:r>
      </w:hyperlink>
    </w:p>
    <w:p w14:paraId="6B1C80C2" w14:textId="58025CBD" w:rsidR="00164BD5" w:rsidRPr="001D5BD4" w:rsidRDefault="00164BD5" w:rsidP="001D5BD4">
      <w:pPr>
        <w:rPr>
          <w:rFonts w:ascii="Arial" w:eastAsia="Arial" w:hAnsi="Arial" w:cs="Arial"/>
          <w:kern w:val="0"/>
          <w:sz w:val="24"/>
          <w:szCs w:val="24"/>
          <w14:ligatures w14:val="none"/>
        </w:rPr>
      </w:pPr>
      <w:bookmarkStart w:id="0" w:name="_GoBack"/>
      <w:bookmarkEnd w:id="0"/>
    </w:p>
    <w:sectPr w:rsidR="00164BD5" w:rsidRPr="001D5BD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6DA0D" w14:textId="77777777" w:rsidR="00FC4B70" w:rsidRDefault="00FC4B70" w:rsidP="00BD14D1">
      <w:pPr>
        <w:spacing w:after="0" w:line="240" w:lineRule="auto"/>
      </w:pPr>
      <w:r>
        <w:separator/>
      </w:r>
    </w:p>
  </w:endnote>
  <w:endnote w:type="continuationSeparator" w:id="0">
    <w:p w14:paraId="6DEDB662" w14:textId="77777777" w:rsidR="00FC4B70" w:rsidRDefault="00FC4B70" w:rsidP="00BD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46E0B" w14:textId="77777777" w:rsidR="00FC4B70" w:rsidRDefault="00FC4B70" w:rsidP="00BD14D1">
      <w:pPr>
        <w:spacing w:after="0" w:line="240" w:lineRule="auto"/>
      </w:pPr>
      <w:r>
        <w:separator/>
      </w:r>
    </w:p>
  </w:footnote>
  <w:footnote w:type="continuationSeparator" w:id="0">
    <w:p w14:paraId="4CA5E4FD" w14:textId="77777777" w:rsidR="00FC4B70" w:rsidRDefault="00FC4B70" w:rsidP="00BD14D1">
      <w:pPr>
        <w:spacing w:after="0" w:line="240" w:lineRule="auto"/>
      </w:pPr>
      <w:r>
        <w:continuationSeparator/>
      </w:r>
    </w:p>
  </w:footnote>
  <w:footnote w:id="1">
    <w:p w14:paraId="748A689E" w14:textId="77777777" w:rsidR="006769CC" w:rsidRPr="00BA3703" w:rsidRDefault="006769CC" w:rsidP="006769CC">
      <w:pPr>
        <w:pStyle w:val="Textodenotaderodap"/>
      </w:pPr>
      <w:r>
        <w:rPr>
          <w:rStyle w:val="Refdenotaderodap"/>
        </w:rPr>
        <w:footnoteRef/>
      </w:r>
      <w:r>
        <w:t xml:space="preserve"> Art. 1848. Salvo se houver justa causa, declarada no testamento, não pode o testador estabelecer cláusula de inalienabilidade, impenhorabilidade, e de incomunicabilidade, sobre os bens da legítima.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8C2"/>
    <w:multiLevelType w:val="hybridMultilevel"/>
    <w:tmpl w:val="DF427792"/>
    <w:lvl w:ilvl="0" w:tplc="57D604B4">
      <w:start w:val="1"/>
      <w:numFmt w:val="decimal"/>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1">
    <w:nsid w:val="09996DF9"/>
    <w:multiLevelType w:val="hybridMultilevel"/>
    <w:tmpl w:val="918E7966"/>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
    <w:nsid w:val="0A325EE9"/>
    <w:multiLevelType w:val="hybridMultilevel"/>
    <w:tmpl w:val="F94C93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56D4718"/>
    <w:multiLevelType w:val="hybridMultilevel"/>
    <w:tmpl w:val="AEA2F6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58C064E"/>
    <w:multiLevelType w:val="multilevel"/>
    <w:tmpl w:val="F9A02210"/>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nsid w:val="410054F9"/>
    <w:multiLevelType w:val="multilevel"/>
    <w:tmpl w:val="3DB0EC70"/>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758F4FC4"/>
    <w:multiLevelType w:val="hybridMultilevel"/>
    <w:tmpl w:val="0B484E58"/>
    <w:lvl w:ilvl="0" w:tplc="DC34569C">
      <w:start w:val="1"/>
      <w:numFmt w:val="decimal"/>
      <w:lvlText w:val="%1."/>
      <w:lvlJc w:val="left"/>
      <w:pPr>
        <w:ind w:left="833" w:hanging="72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7">
    <w:nsid w:val="76405223"/>
    <w:multiLevelType w:val="hybridMultilevel"/>
    <w:tmpl w:val="9432B8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2"/>
  </w:num>
  <w:num w:numId="5">
    <w:abstractNumId w:val="7"/>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B48"/>
    <w:rsid w:val="00002EFA"/>
    <w:rsid w:val="0000759E"/>
    <w:rsid w:val="000210D9"/>
    <w:rsid w:val="00021DAE"/>
    <w:rsid w:val="000432B4"/>
    <w:rsid w:val="000513E9"/>
    <w:rsid w:val="000555D8"/>
    <w:rsid w:val="0006119F"/>
    <w:rsid w:val="00071A47"/>
    <w:rsid w:val="000A4E97"/>
    <w:rsid w:val="000C39FE"/>
    <w:rsid w:val="000C4E79"/>
    <w:rsid w:val="000D324E"/>
    <w:rsid w:val="000E14E2"/>
    <w:rsid w:val="000F4EF0"/>
    <w:rsid w:val="001205B6"/>
    <w:rsid w:val="00132639"/>
    <w:rsid w:val="001464E8"/>
    <w:rsid w:val="00163F05"/>
    <w:rsid w:val="00164BD5"/>
    <w:rsid w:val="00184241"/>
    <w:rsid w:val="00190E95"/>
    <w:rsid w:val="001A4F1B"/>
    <w:rsid w:val="001A6621"/>
    <w:rsid w:val="001B05E8"/>
    <w:rsid w:val="001B62D7"/>
    <w:rsid w:val="001C7AC5"/>
    <w:rsid w:val="001D1849"/>
    <w:rsid w:val="001D5BD4"/>
    <w:rsid w:val="001F7B16"/>
    <w:rsid w:val="00203FCF"/>
    <w:rsid w:val="00205F4D"/>
    <w:rsid w:val="00240D56"/>
    <w:rsid w:val="00243903"/>
    <w:rsid w:val="00251120"/>
    <w:rsid w:val="002652C4"/>
    <w:rsid w:val="0027008D"/>
    <w:rsid w:val="00272017"/>
    <w:rsid w:val="00293CA5"/>
    <w:rsid w:val="002970DF"/>
    <w:rsid w:val="002A1D51"/>
    <w:rsid w:val="002C27A2"/>
    <w:rsid w:val="003005AB"/>
    <w:rsid w:val="00304253"/>
    <w:rsid w:val="00336FF9"/>
    <w:rsid w:val="00373D7A"/>
    <w:rsid w:val="00376B12"/>
    <w:rsid w:val="00396F4D"/>
    <w:rsid w:val="003A192F"/>
    <w:rsid w:val="003A3300"/>
    <w:rsid w:val="003A6F7C"/>
    <w:rsid w:val="003E0932"/>
    <w:rsid w:val="003E4FCA"/>
    <w:rsid w:val="003E7BDE"/>
    <w:rsid w:val="004106F5"/>
    <w:rsid w:val="00413EE0"/>
    <w:rsid w:val="00421D85"/>
    <w:rsid w:val="00424FD5"/>
    <w:rsid w:val="00427473"/>
    <w:rsid w:val="00436AA9"/>
    <w:rsid w:val="00447D3F"/>
    <w:rsid w:val="0045505B"/>
    <w:rsid w:val="0046361C"/>
    <w:rsid w:val="00481315"/>
    <w:rsid w:val="00493ED0"/>
    <w:rsid w:val="004A70D3"/>
    <w:rsid w:val="004C009F"/>
    <w:rsid w:val="004C3031"/>
    <w:rsid w:val="004D660A"/>
    <w:rsid w:val="005018CD"/>
    <w:rsid w:val="00514BCF"/>
    <w:rsid w:val="00531451"/>
    <w:rsid w:val="00567D94"/>
    <w:rsid w:val="005825DE"/>
    <w:rsid w:val="005A0A8B"/>
    <w:rsid w:val="005B1E3E"/>
    <w:rsid w:val="005D32B2"/>
    <w:rsid w:val="005D5B74"/>
    <w:rsid w:val="005E0C33"/>
    <w:rsid w:val="005E674C"/>
    <w:rsid w:val="005F1C1F"/>
    <w:rsid w:val="006106EA"/>
    <w:rsid w:val="00634A28"/>
    <w:rsid w:val="00643C67"/>
    <w:rsid w:val="006769CC"/>
    <w:rsid w:val="006D19F9"/>
    <w:rsid w:val="006E2629"/>
    <w:rsid w:val="007247AE"/>
    <w:rsid w:val="007346DB"/>
    <w:rsid w:val="007452FA"/>
    <w:rsid w:val="0075601B"/>
    <w:rsid w:val="00765095"/>
    <w:rsid w:val="00767530"/>
    <w:rsid w:val="00771D58"/>
    <w:rsid w:val="00776BD5"/>
    <w:rsid w:val="00776D5F"/>
    <w:rsid w:val="007A0505"/>
    <w:rsid w:val="007A6FDC"/>
    <w:rsid w:val="007B2B48"/>
    <w:rsid w:val="007C4DCB"/>
    <w:rsid w:val="007D35F2"/>
    <w:rsid w:val="00806445"/>
    <w:rsid w:val="00814F6F"/>
    <w:rsid w:val="00836EFE"/>
    <w:rsid w:val="00841837"/>
    <w:rsid w:val="00857D2A"/>
    <w:rsid w:val="0088627A"/>
    <w:rsid w:val="00896CB5"/>
    <w:rsid w:val="008A3D9F"/>
    <w:rsid w:val="008A4F68"/>
    <w:rsid w:val="008C1AF7"/>
    <w:rsid w:val="008C404B"/>
    <w:rsid w:val="008C6BCC"/>
    <w:rsid w:val="008E5895"/>
    <w:rsid w:val="008F4C45"/>
    <w:rsid w:val="00912599"/>
    <w:rsid w:val="00917534"/>
    <w:rsid w:val="0092772B"/>
    <w:rsid w:val="00927BC2"/>
    <w:rsid w:val="00936BA7"/>
    <w:rsid w:val="00971940"/>
    <w:rsid w:val="00981433"/>
    <w:rsid w:val="009E216D"/>
    <w:rsid w:val="009E4DAC"/>
    <w:rsid w:val="009E5AD4"/>
    <w:rsid w:val="00A07171"/>
    <w:rsid w:val="00A1069C"/>
    <w:rsid w:val="00A109F3"/>
    <w:rsid w:val="00A278A9"/>
    <w:rsid w:val="00A41974"/>
    <w:rsid w:val="00A50685"/>
    <w:rsid w:val="00A5207D"/>
    <w:rsid w:val="00A55849"/>
    <w:rsid w:val="00A74792"/>
    <w:rsid w:val="00A82653"/>
    <w:rsid w:val="00A8464C"/>
    <w:rsid w:val="00AA3015"/>
    <w:rsid w:val="00AA5F91"/>
    <w:rsid w:val="00AB1619"/>
    <w:rsid w:val="00AB65C4"/>
    <w:rsid w:val="00AB67A8"/>
    <w:rsid w:val="00AC207B"/>
    <w:rsid w:val="00AD517A"/>
    <w:rsid w:val="00AE332C"/>
    <w:rsid w:val="00AF36BD"/>
    <w:rsid w:val="00B07533"/>
    <w:rsid w:val="00B103C9"/>
    <w:rsid w:val="00B14E87"/>
    <w:rsid w:val="00B30467"/>
    <w:rsid w:val="00B45CB5"/>
    <w:rsid w:val="00B531C7"/>
    <w:rsid w:val="00B709AE"/>
    <w:rsid w:val="00B72ED5"/>
    <w:rsid w:val="00B8199C"/>
    <w:rsid w:val="00BA0FA7"/>
    <w:rsid w:val="00BB4E28"/>
    <w:rsid w:val="00BC35D1"/>
    <w:rsid w:val="00BD14D1"/>
    <w:rsid w:val="00C01A58"/>
    <w:rsid w:val="00C07E31"/>
    <w:rsid w:val="00C24B3E"/>
    <w:rsid w:val="00C50173"/>
    <w:rsid w:val="00C87F7B"/>
    <w:rsid w:val="00C96C64"/>
    <w:rsid w:val="00CB77B0"/>
    <w:rsid w:val="00CC25CE"/>
    <w:rsid w:val="00CD0139"/>
    <w:rsid w:val="00CD54B0"/>
    <w:rsid w:val="00CD6C02"/>
    <w:rsid w:val="00CD7023"/>
    <w:rsid w:val="00CE710C"/>
    <w:rsid w:val="00D118DD"/>
    <w:rsid w:val="00D127C6"/>
    <w:rsid w:val="00D251F1"/>
    <w:rsid w:val="00D34CFE"/>
    <w:rsid w:val="00D535FE"/>
    <w:rsid w:val="00D546BB"/>
    <w:rsid w:val="00D642D4"/>
    <w:rsid w:val="00D66D00"/>
    <w:rsid w:val="00D76C9B"/>
    <w:rsid w:val="00D947E2"/>
    <w:rsid w:val="00DA3D81"/>
    <w:rsid w:val="00DE1F88"/>
    <w:rsid w:val="00DE69FB"/>
    <w:rsid w:val="00DF7D64"/>
    <w:rsid w:val="00E212E0"/>
    <w:rsid w:val="00E26644"/>
    <w:rsid w:val="00E278E6"/>
    <w:rsid w:val="00E451EC"/>
    <w:rsid w:val="00E463E1"/>
    <w:rsid w:val="00E5681F"/>
    <w:rsid w:val="00E71EE7"/>
    <w:rsid w:val="00E8093B"/>
    <w:rsid w:val="00E90211"/>
    <w:rsid w:val="00E9372E"/>
    <w:rsid w:val="00E951C3"/>
    <w:rsid w:val="00EA6906"/>
    <w:rsid w:val="00EB43BD"/>
    <w:rsid w:val="00EB6C5A"/>
    <w:rsid w:val="00EC0124"/>
    <w:rsid w:val="00F11AE3"/>
    <w:rsid w:val="00F12CED"/>
    <w:rsid w:val="00F14FA6"/>
    <w:rsid w:val="00F15872"/>
    <w:rsid w:val="00F3100F"/>
    <w:rsid w:val="00F33204"/>
    <w:rsid w:val="00F66CD9"/>
    <w:rsid w:val="00FA4C8B"/>
    <w:rsid w:val="00FA6239"/>
    <w:rsid w:val="00FB7636"/>
    <w:rsid w:val="00FC4B70"/>
    <w:rsid w:val="00FF53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0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DA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3E7BDE"/>
    <w:pPr>
      <w:tabs>
        <w:tab w:val="left" w:pos="7710"/>
      </w:tabs>
      <w:ind w:left="3969"/>
      <w:jc w:val="both"/>
    </w:pPr>
    <w:rPr>
      <w:rFonts w:ascii="Times New Roman" w:hAnsi="Times New Roman" w:cs="Times New Roman"/>
      <w:sz w:val="24"/>
      <w:szCs w:val="24"/>
    </w:rPr>
  </w:style>
  <w:style w:type="character" w:customStyle="1" w:styleId="RecuodecorpodetextoChar">
    <w:name w:val="Recuo de corpo de texto Char"/>
    <w:basedOn w:val="Fontepargpadro"/>
    <w:link w:val="Recuodecorpodetexto"/>
    <w:uiPriority w:val="99"/>
    <w:rsid w:val="003E7BDE"/>
    <w:rPr>
      <w:rFonts w:ascii="Times New Roman" w:hAnsi="Times New Roman" w:cs="Times New Roman"/>
      <w:sz w:val="24"/>
      <w:szCs w:val="24"/>
    </w:rPr>
  </w:style>
  <w:style w:type="paragraph" w:styleId="Corpodetexto">
    <w:name w:val="Body Text"/>
    <w:basedOn w:val="Normal"/>
    <w:link w:val="CorpodetextoChar"/>
    <w:uiPriority w:val="99"/>
    <w:unhideWhenUsed/>
    <w:rsid w:val="0006119F"/>
    <w:pPr>
      <w:tabs>
        <w:tab w:val="left" w:pos="8504"/>
      </w:tabs>
      <w:jc w:val="center"/>
    </w:pPr>
    <w:rPr>
      <w:rFonts w:ascii="Arial" w:hAnsi="Arial" w:cs="Arial"/>
      <w:b/>
      <w:bCs/>
      <w:sz w:val="24"/>
      <w:szCs w:val="24"/>
    </w:rPr>
  </w:style>
  <w:style w:type="character" w:customStyle="1" w:styleId="CorpodetextoChar">
    <w:name w:val="Corpo de texto Char"/>
    <w:basedOn w:val="Fontepargpadro"/>
    <w:link w:val="Corpodetexto"/>
    <w:uiPriority w:val="99"/>
    <w:rsid w:val="0006119F"/>
    <w:rPr>
      <w:rFonts w:ascii="Arial" w:hAnsi="Arial" w:cs="Arial"/>
      <w:b/>
      <w:bCs/>
      <w:sz w:val="24"/>
      <w:szCs w:val="24"/>
    </w:rPr>
  </w:style>
  <w:style w:type="paragraph" w:customStyle="1" w:styleId="Abstract">
    <w:name w:val="Abstract"/>
    <w:basedOn w:val="Normal"/>
    <w:link w:val="AbstractChar"/>
    <w:qFormat/>
    <w:rsid w:val="002970DF"/>
    <w:pPr>
      <w:widowControl w:val="0"/>
      <w:spacing w:after="0" w:line="480" w:lineRule="auto"/>
      <w:ind w:right="90"/>
      <w:jc w:val="both"/>
    </w:pPr>
    <w:rPr>
      <w:rFonts w:ascii="Arial" w:eastAsia="Arial" w:hAnsi="Arial" w:cs="Arial"/>
      <w:b/>
      <w:kern w:val="0"/>
      <w:sz w:val="24"/>
      <w14:ligatures w14:val="none"/>
    </w:rPr>
  </w:style>
  <w:style w:type="character" w:customStyle="1" w:styleId="AbstractChar">
    <w:name w:val="Abstract Char"/>
    <w:basedOn w:val="Fontepargpadro"/>
    <w:link w:val="Abstract"/>
    <w:rsid w:val="002970DF"/>
    <w:rPr>
      <w:rFonts w:ascii="Arial" w:eastAsia="Arial" w:hAnsi="Arial" w:cs="Arial"/>
      <w:b/>
      <w:kern w:val="0"/>
      <w:sz w:val="24"/>
      <w14:ligatures w14:val="none"/>
    </w:rPr>
  </w:style>
  <w:style w:type="paragraph" w:customStyle="1" w:styleId="tITULOS">
    <w:name w:val="tITULOS"/>
    <w:basedOn w:val="Normal"/>
    <w:link w:val="tITULOSChar"/>
    <w:qFormat/>
    <w:rsid w:val="0075601B"/>
    <w:pPr>
      <w:widowControl w:val="0"/>
      <w:spacing w:before="10" w:after="0" w:line="257" w:lineRule="auto"/>
      <w:ind w:left="856" w:right="119" w:hanging="743"/>
      <w:jc w:val="both"/>
    </w:pPr>
    <w:rPr>
      <w:rFonts w:ascii="Arial" w:eastAsia="Arial" w:hAnsi="Arial" w:cs="Arial"/>
      <w:b/>
      <w:bCs/>
      <w:kern w:val="0"/>
      <w:sz w:val="24"/>
      <w:szCs w:val="24"/>
      <w14:ligatures w14:val="none"/>
    </w:rPr>
  </w:style>
  <w:style w:type="character" w:customStyle="1" w:styleId="tITULOSChar">
    <w:name w:val="tITULOS Char"/>
    <w:basedOn w:val="Fontepargpadro"/>
    <w:link w:val="tITULOS"/>
    <w:rsid w:val="0075601B"/>
    <w:rPr>
      <w:rFonts w:ascii="Arial" w:eastAsia="Arial" w:hAnsi="Arial" w:cs="Arial"/>
      <w:b/>
      <w:bCs/>
      <w:kern w:val="0"/>
      <w:sz w:val="24"/>
      <w:szCs w:val="24"/>
      <w14:ligatures w14:val="none"/>
    </w:rPr>
  </w:style>
  <w:style w:type="paragraph" w:styleId="PargrafodaLista">
    <w:name w:val="List Paragraph"/>
    <w:basedOn w:val="Normal"/>
    <w:uiPriority w:val="34"/>
    <w:qFormat/>
    <w:rsid w:val="0075601B"/>
    <w:pPr>
      <w:ind w:left="720"/>
      <w:contextualSpacing/>
    </w:pPr>
  </w:style>
  <w:style w:type="character" w:styleId="Forte">
    <w:name w:val="Strong"/>
    <w:basedOn w:val="Fontepargpadro"/>
    <w:uiPriority w:val="22"/>
    <w:qFormat/>
    <w:rsid w:val="000F4EF0"/>
    <w:rPr>
      <w:b/>
      <w:bCs/>
    </w:rPr>
  </w:style>
  <w:style w:type="character" w:styleId="nfase">
    <w:name w:val="Emphasis"/>
    <w:basedOn w:val="Fontepargpadro"/>
    <w:uiPriority w:val="20"/>
    <w:qFormat/>
    <w:rsid w:val="000F4EF0"/>
    <w:rPr>
      <w:i/>
      <w:iCs/>
    </w:rPr>
  </w:style>
  <w:style w:type="character" w:styleId="Hyperlink">
    <w:name w:val="Hyperlink"/>
    <w:basedOn w:val="Fontepargpadro"/>
    <w:uiPriority w:val="99"/>
    <w:unhideWhenUsed/>
    <w:rsid w:val="00B07533"/>
    <w:rPr>
      <w:color w:val="0563C1" w:themeColor="hyperlink"/>
      <w:u w:val="single"/>
    </w:rPr>
  </w:style>
  <w:style w:type="character" w:customStyle="1" w:styleId="MenoPendente1">
    <w:name w:val="Menção Pendente1"/>
    <w:basedOn w:val="Fontepargpadro"/>
    <w:uiPriority w:val="99"/>
    <w:semiHidden/>
    <w:unhideWhenUsed/>
    <w:rsid w:val="00B07533"/>
    <w:rPr>
      <w:color w:val="605E5C"/>
      <w:shd w:val="clear" w:color="auto" w:fill="E1DFDD"/>
    </w:rPr>
  </w:style>
  <w:style w:type="paragraph" w:styleId="Textodenotaderodap">
    <w:name w:val="footnote text"/>
    <w:basedOn w:val="Normal"/>
    <w:link w:val="TextodenotaderodapChar"/>
    <w:uiPriority w:val="99"/>
    <w:semiHidden/>
    <w:unhideWhenUsed/>
    <w:rsid w:val="00BD14D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D14D1"/>
    <w:rPr>
      <w:sz w:val="20"/>
      <w:szCs w:val="20"/>
    </w:rPr>
  </w:style>
  <w:style w:type="character" w:styleId="Refdenotaderodap">
    <w:name w:val="footnote reference"/>
    <w:basedOn w:val="Fontepargpadro"/>
    <w:uiPriority w:val="99"/>
    <w:semiHidden/>
    <w:unhideWhenUsed/>
    <w:rsid w:val="00BD14D1"/>
    <w:rPr>
      <w:vertAlign w:val="superscript"/>
    </w:rPr>
  </w:style>
  <w:style w:type="character" w:customStyle="1" w:styleId="MenoPendente2">
    <w:name w:val="Menção Pendente2"/>
    <w:basedOn w:val="Fontepargpadro"/>
    <w:uiPriority w:val="99"/>
    <w:semiHidden/>
    <w:unhideWhenUsed/>
    <w:rsid w:val="0027008D"/>
    <w:rPr>
      <w:color w:val="605E5C"/>
      <w:shd w:val="clear" w:color="auto" w:fill="E1DFDD"/>
    </w:rPr>
  </w:style>
  <w:style w:type="paragraph" w:styleId="Textodebalo">
    <w:name w:val="Balloon Text"/>
    <w:basedOn w:val="Normal"/>
    <w:link w:val="TextodebaloChar"/>
    <w:uiPriority w:val="99"/>
    <w:semiHidden/>
    <w:unhideWhenUsed/>
    <w:rsid w:val="00D118D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18DD"/>
    <w:rPr>
      <w:rFonts w:ascii="Tahoma" w:hAnsi="Tahoma" w:cs="Tahoma"/>
      <w:sz w:val="16"/>
      <w:szCs w:val="16"/>
    </w:rPr>
  </w:style>
  <w:style w:type="table" w:styleId="Tabelacomgrade">
    <w:name w:val="Table Grid"/>
    <w:basedOn w:val="Tabelanormal"/>
    <w:uiPriority w:val="39"/>
    <w:rsid w:val="00373D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Mdia2-nfase1">
    <w:name w:val="Medium List 2 Accent 1"/>
    <w:basedOn w:val="Tabelanormal"/>
    <w:uiPriority w:val="66"/>
    <w:rsid w:val="005F1C1F"/>
    <w:pPr>
      <w:spacing w:after="0" w:line="240" w:lineRule="auto"/>
    </w:pPr>
    <w:rPr>
      <w:rFonts w:asciiTheme="majorHAnsi" w:eastAsiaTheme="majorEastAsia" w:hAnsiTheme="majorHAnsi" w:cstheme="majorBidi"/>
      <w:color w:val="000000" w:themeColor="text1"/>
      <w:kern w:val="0"/>
      <w:lang w:eastAsia="pt-BR"/>
      <w14:ligatures w14:val="none"/>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UnresolvedMention">
    <w:name w:val="Unresolved Mention"/>
    <w:basedOn w:val="Fontepargpadro"/>
    <w:uiPriority w:val="99"/>
    <w:semiHidden/>
    <w:unhideWhenUsed/>
    <w:rsid w:val="001D5BD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DA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3E7BDE"/>
    <w:pPr>
      <w:tabs>
        <w:tab w:val="left" w:pos="7710"/>
      </w:tabs>
      <w:ind w:left="3969"/>
      <w:jc w:val="both"/>
    </w:pPr>
    <w:rPr>
      <w:rFonts w:ascii="Times New Roman" w:hAnsi="Times New Roman" w:cs="Times New Roman"/>
      <w:sz w:val="24"/>
      <w:szCs w:val="24"/>
    </w:rPr>
  </w:style>
  <w:style w:type="character" w:customStyle="1" w:styleId="RecuodecorpodetextoChar">
    <w:name w:val="Recuo de corpo de texto Char"/>
    <w:basedOn w:val="Fontepargpadro"/>
    <w:link w:val="Recuodecorpodetexto"/>
    <w:uiPriority w:val="99"/>
    <w:rsid w:val="003E7BDE"/>
    <w:rPr>
      <w:rFonts w:ascii="Times New Roman" w:hAnsi="Times New Roman" w:cs="Times New Roman"/>
      <w:sz w:val="24"/>
      <w:szCs w:val="24"/>
    </w:rPr>
  </w:style>
  <w:style w:type="paragraph" w:styleId="Corpodetexto">
    <w:name w:val="Body Text"/>
    <w:basedOn w:val="Normal"/>
    <w:link w:val="CorpodetextoChar"/>
    <w:uiPriority w:val="99"/>
    <w:unhideWhenUsed/>
    <w:rsid w:val="0006119F"/>
    <w:pPr>
      <w:tabs>
        <w:tab w:val="left" w:pos="8504"/>
      </w:tabs>
      <w:jc w:val="center"/>
    </w:pPr>
    <w:rPr>
      <w:rFonts w:ascii="Arial" w:hAnsi="Arial" w:cs="Arial"/>
      <w:b/>
      <w:bCs/>
      <w:sz w:val="24"/>
      <w:szCs w:val="24"/>
    </w:rPr>
  </w:style>
  <w:style w:type="character" w:customStyle="1" w:styleId="CorpodetextoChar">
    <w:name w:val="Corpo de texto Char"/>
    <w:basedOn w:val="Fontepargpadro"/>
    <w:link w:val="Corpodetexto"/>
    <w:uiPriority w:val="99"/>
    <w:rsid w:val="0006119F"/>
    <w:rPr>
      <w:rFonts w:ascii="Arial" w:hAnsi="Arial" w:cs="Arial"/>
      <w:b/>
      <w:bCs/>
      <w:sz w:val="24"/>
      <w:szCs w:val="24"/>
    </w:rPr>
  </w:style>
  <w:style w:type="paragraph" w:customStyle="1" w:styleId="Abstract">
    <w:name w:val="Abstract"/>
    <w:basedOn w:val="Normal"/>
    <w:link w:val="AbstractChar"/>
    <w:qFormat/>
    <w:rsid w:val="002970DF"/>
    <w:pPr>
      <w:widowControl w:val="0"/>
      <w:spacing w:after="0" w:line="480" w:lineRule="auto"/>
      <w:ind w:right="90"/>
      <w:jc w:val="both"/>
    </w:pPr>
    <w:rPr>
      <w:rFonts w:ascii="Arial" w:eastAsia="Arial" w:hAnsi="Arial" w:cs="Arial"/>
      <w:b/>
      <w:kern w:val="0"/>
      <w:sz w:val="24"/>
      <w14:ligatures w14:val="none"/>
    </w:rPr>
  </w:style>
  <w:style w:type="character" w:customStyle="1" w:styleId="AbstractChar">
    <w:name w:val="Abstract Char"/>
    <w:basedOn w:val="Fontepargpadro"/>
    <w:link w:val="Abstract"/>
    <w:rsid w:val="002970DF"/>
    <w:rPr>
      <w:rFonts w:ascii="Arial" w:eastAsia="Arial" w:hAnsi="Arial" w:cs="Arial"/>
      <w:b/>
      <w:kern w:val="0"/>
      <w:sz w:val="24"/>
      <w14:ligatures w14:val="none"/>
    </w:rPr>
  </w:style>
  <w:style w:type="paragraph" w:customStyle="1" w:styleId="tITULOS">
    <w:name w:val="tITULOS"/>
    <w:basedOn w:val="Normal"/>
    <w:link w:val="tITULOSChar"/>
    <w:qFormat/>
    <w:rsid w:val="0075601B"/>
    <w:pPr>
      <w:widowControl w:val="0"/>
      <w:spacing w:before="10" w:after="0" w:line="257" w:lineRule="auto"/>
      <w:ind w:left="856" w:right="119" w:hanging="743"/>
      <w:jc w:val="both"/>
    </w:pPr>
    <w:rPr>
      <w:rFonts w:ascii="Arial" w:eastAsia="Arial" w:hAnsi="Arial" w:cs="Arial"/>
      <w:b/>
      <w:bCs/>
      <w:kern w:val="0"/>
      <w:sz w:val="24"/>
      <w:szCs w:val="24"/>
      <w14:ligatures w14:val="none"/>
    </w:rPr>
  </w:style>
  <w:style w:type="character" w:customStyle="1" w:styleId="tITULOSChar">
    <w:name w:val="tITULOS Char"/>
    <w:basedOn w:val="Fontepargpadro"/>
    <w:link w:val="tITULOS"/>
    <w:rsid w:val="0075601B"/>
    <w:rPr>
      <w:rFonts w:ascii="Arial" w:eastAsia="Arial" w:hAnsi="Arial" w:cs="Arial"/>
      <w:b/>
      <w:bCs/>
      <w:kern w:val="0"/>
      <w:sz w:val="24"/>
      <w:szCs w:val="24"/>
      <w14:ligatures w14:val="none"/>
    </w:rPr>
  </w:style>
  <w:style w:type="paragraph" w:styleId="PargrafodaLista">
    <w:name w:val="List Paragraph"/>
    <w:basedOn w:val="Normal"/>
    <w:uiPriority w:val="34"/>
    <w:qFormat/>
    <w:rsid w:val="0075601B"/>
    <w:pPr>
      <w:ind w:left="720"/>
      <w:contextualSpacing/>
    </w:pPr>
  </w:style>
  <w:style w:type="character" w:styleId="Forte">
    <w:name w:val="Strong"/>
    <w:basedOn w:val="Fontepargpadro"/>
    <w:uiPriority w:val="22"/>
    <w:qFormat/>
    <w:rsid w:val="000F4EF0"/>
    <w:rPr>
      <w:b/>
      <w:bCs/>
    </w:rPr>
  </w:style>
  <w:style w:type="character" w:styleId="nfase">
    <w:name w:val="Emphasis"/>
    <w:basedOn w:val="Fontepargpadro"/>
    <w:uiPriority w:val="20"/>
    <w:qFormat/>
    <w:rsid w:val="000F4EF0"/>
    <w:rPr>
      <w:i/>
      <w:iCs/>
    </w:rPr>
  </w:style>
  <w:style w:type="character" w:styleId="Hyperlink">
    <w:name w:val="Hyperlink"/>
    <w:basedOn w:val="Fontepargpadro"/>
    <w:uiPriority w:val="99"/>
    <w:unhideWhenUsed/>
    <w:rsid w:val="00B07533"/>
    <w:rPr>
      <w:color w:val="0563C1" w:themeColor="hyperlink"/>
      <w:u w:val="single"/>
    </w:rPr>
  </w:style>
  <w:style w:type="character" w:customStyle="1" w:styleId="MenoPendente1">
    <w:name w:val="Menção Pendente1"/>
    <w:basedOn w:val="Fontepargpadro"/>
    <w:uiPriority w:val="99"/>
    <w:semiHidden/>
    <w:unhideWhenUsed/>
    <w:rsid w:val="00B07533"/>
    <w:rPr>
      <w:color w:val="605E5C"/>
      <w:shd w:val="clear" w:color="auto" w:fill="E1DFDD"/>
    </w:rPr>
  </w:style>
  <w:style w:type="paragraph" w:styleId="Textodenotaderodap">
    <w:name w:val="footnote text"/>
    <w:basedOn w:val="Normal"/>
    <w:link w:val="TextodenotaderodapChar"/>
    <w:uiPriority w:val="99"/>
    <w:semiHidden/>
    <w:unhideWhenUsed/>
    <w:rsid w:val="00BD14D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D14D1"/>
    <w:rPr>
      <w:sz w:val="20"/>
      <w:szCs w:val="20"/>
    </w:rPr>
  </w:style>
  <w:style w:type="character" w:styleId="Refdenotaderodap">
    <w:name w:val="footnote reference"/>
    <w:basedOn w:val="Fontepargpadro"/>
    <w:uiPriority w:val="99"/>
    <w:semiHidden/>
    <w:unhideWhenUsed/>
    <w:rsid w:val="00BD14D1"/>
    <w:rPr>
      <w:vertAlign w:val="superscript"/>
    </w:rPr>
  </w:style>
  <w:style w:type="character" w:customStyle="1" w:styleId="MenoPendente2">
    <w:name w:val="Menção Pendente2"/>
    <w:basedOn w:val="Fontepargpadro"/>
    <w:uiPriority w:val="99"/>
    <w:semiHidden/>
    <w:unhideWhenUsed/>
    <w:rsid w:val="0027008D"/>
    <w:rPr>
      <w:color w:val="605E5C"/>
      <w:shd w:val="clear" w:color="auto" w:fill="E1DFDD"/>
    </w:rPr>
  </w:style>
  <w:style w:type="paragraph" w:styleId="Textodebalo">
    <w:name w:val="Balloon Text"/>
    <w:basedOn w:val="Normal"/>
    <w:link w:val="TextodebaloChar"/>
    <w:uiPriority w:val="99"/>
    <w:semiHidden/>
    <w:unhideWhenUsed/>
    <w:rsid w:val="00D118D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18DD"/>
    <w:rPr>
      <w:rFonts w:ascii="Tahoma" w:hAnsi="Tahoma" w:cs="Tahoma"/>
      <w:sz w:val="16"/>
      <w:szCs w:val="16"/>
    </w:rPr>
  </w:style>
  <w:style w:type="table" w:styleId="Tabelacomgrade">
    <w:name w:val="Table Grid"/>
    <w:basedOn w:val="Tabelanormal"/>
    <w:uiPriority w:val="39"/>
    <w:rsid w:val="00373D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Mdia2-nfase1">
    <w:name w:val="Medium List 2 Accent 1"/>
    <w:basedOn w:val="Tabelanormal"/>
    <w:uiPriority w:val="66"/>
    <w:rsid w:val="005F1C1F"/>
    <w:pPr>
      <w:spacing w:after="0" w:line="240" w:lineRule="auto"/>
    </w:pPr>
    <w:rPr>
      <w:rFonts w:asciiTheme="majorHAnsi" w:eastAsiaTheme="majorEastAsia" w:hAnsiTheme="majorHAnsi" w:cstheme="majorBidi"/>
      <w:color w:val="000000" w:themeColor="text1"/>
      <w:kern w:val="0"/>
      <w:lang w:eastAsia="pt-BR"/>
      <w14:ligatures w14:val="none"/>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UnresolvedMention">
    <w:name w:val="Unresolved Mention"/>
    <w:basedOn w:val="Fontepargpadro"/>
    <w:uiPriority w:val="99"/>
    <w:semiHidden/>
    <w:unhideWhenUsed/>
    <w:rsid w:val="001D5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80674">
      <w:bodyDiv w:val="1"/>
      <w:marLeft w:val="0"/>
      <w:marRight w:val="0"/>
      <w:marTop w:val="0"/>
      <w:marBottom w:val="0"/>
      <w:divBdr>
        <w:top w:val="none" w:sz="0" w:space="0" w:color="auto"/>
        <w:left w:val="none" w:sz="0" w:space="0" w:color="auto"/>
        <w:bottom w:val="none" w:sz="0" w:space="0" w:color="auto"/>
        <w:right w:val="none" w:sz="0" w:space="0" w:color="auto"/>
      </w:divBdr>
    </w:div>
    <w:div w:id="219363526">
      <w:bodyDiv w:val="1"/>
      <w:marLeft w:val="0"/>
      <w:marRight w:val="0"/>
      <w:marTop w:val="0"/>
      <w:marBottom w:val="0"/>
      <w:divBdr>
        <w:top w:val="none" w:sz="0" w:space="0" w:color="auto"/>
        <w:left w:val="none" w:sz="0" w:space="0" w:color="auto"/>
        <w:bottom w:val="none" w:sz="0" w:space="0" w:color="auto"/>
        <w:right w:val="none" w:sz="0" w:space="0" w:color="auto"/>
      </w:divBdr>
    </w:div>
    <w:div w:id="263347275">
      <w:bodyDiv w:val="1"/>
      <w:marLeft w:val="0"/>
      <w:marRight w:val="0"/>
      <w:marTop w:val="0"/>
      <w:marBottom w:val="0"/>
      <w:divBdr>
        <w:top w:val="none" w:sz="0" w:space="0" w:color="auto"/>
        <w:left w:val="none" w:sz="0" w:space="0" w:color="auto"/>
        <w:bottom w:val="none" w:sz="0" w:space="0" w:color="auto"/>
        <w:right w:val="none" w:sz="0" w:space="0" w:color="auto"/>
      </w:divBdr>
    </w:div>
    <w:div w:id="360010218">
      <w:bodyDiv w:val="1"/>
      <w:marLeft w:val="0"/>
      <w:marRight w:val="0"/>
      <w:marTop w:val="0"/>
      <w:marBottom w:val="0"/>
      <w:divBdr>
        <w:top w:val="none" w:sz="0" w:space="0" w:color="auto"/>
        <w:left w:val="none" w:sz="0" w:space="0" w:color="auto"/>
        <w:bottom w:val="none" w:sz="0" w:space="0" w:color="auto"/>
        <w:right w:val="none" w:sz="0" w:space="0" w:color="auto"/>
      </w:divBdr>
    </w:div>
    <w:div w:id="454636795">
      <w:bodyDiv w:val="1"/>
      <w:marLeft w:val="0"/>
      <w:marRight w:val="0"/>
      <w:marTop w:val="0"/>
      <w:marBottom w:val="0"/>
      <w:divBdr>
        <w:top w:val="none" w:sz="0" w:space="0" w:color="auto"/>
        <w:left w:val="none" w:sz="0" w:space="0" w:color="auto"/>
        <w:bottom w:val="none" w:sz="0" w:space="0" w:color="auto"/>
        <w:right w:val="none" w:sz="0" w:space="0" w:color="auto"/>
      </w:divBdr>
    </w:div>
    <w:div w:id="574170585">
      <w:bodyDiv w:val="1"/>
      <w:marLeft w:val="0"/>
      <w:marRight w:val="0"/>
      <w:marTop w:val="0"/>
      <w:marBottom w:val="0"/>
      <w:divBdr>
        <w:top w:val="none" w:sz="0" w:space="0" w:color="auto"/>
        <w:left w:val="none" w:sz="0" w:space="0" w:color="auto"/>
        <w:bottom w:val="none" w:sz="0" w:space="0" w:color="auto"/>
        <w:right w:val="none" w:sz="0" w:space="0" w:color="auto"/>
      </w:divBdr>
    </w:div>
    <w:div w:id="647321484">
      <w:bodyDiv w:val="1"/>
      <w:marLeft w:val="0"/>
      <w:marRight w:val="0"/>
      <w:marTop w:val="0"/>
      <w:marBottom w:val="0"/>
      <w:divBdr>
        <w:top w:val="none" w:sz="0" w:space="0" w:color="auto"/>
        <w:left w:val="none" w:sz="0" w:space="0" w:color="auto"/>
        <w:bottom w:val="none" w:sz="0" w:space="0" w:color="auto"/>
        <w:right w:val="none" w:sz="0" w:space="0" w:color="auto"/>
      </w:divBdr>
    </w:div>
    <w:div w:id="715663249">
      <w:bodyDiv w:val="1"/>
      <w:marLeft w:val="0"/>
      <w:marRight w:val="0"/>
      <w:marTop w:val="0"/>
      <w:marBottom w:val="0"/>
      <w:divBdr>
        <w:top w:val="none" w:sz="0" w:space="0" w:color="auto"/>
        <w:left w:val="none" w:sz="0" w:space="0" w:color="auto"/>
        <w:bottom w:val="none" w:sz="0" w:space="0" w:color="auto"/>
        <w:right w:val="none" w:sz="0" w:space="0" w:color="auto"/>
      </w:divBdr>
    </w:div>
    <w:div w:id="807094493">
      <w:bodyDiv w:val="1"/>
      <w:marLeft w:val="0"/>
      <w:marRight w:val="0"/>
      <w:marTop w:val="0"/>
      <w:marBottom w:val="0"/>
      <w:divBdr>
        <w:top w:val="none" w:sz="0" w:space="0" w:color="auto"/>
        <w:left w:val="none" w:sz="0" w:space="0" w:color="auto"/>
        <w:bottom w:val="none" w:sz="0" w:space="0" w:color="auto"/>
        <w:right w:val="none" w:sz="0" w:space="0" w:color="auto"/>
      </w:divBdr>
    </w:div>
    <w:div w:id="1035278830">
      <w:bodyDiv w:val="1"/>
      <w:marLeft w:val="0"/>
      <w:marRight w:val="0"/>
      <w:marTop w:val="0"/>
      <w:marBottom w:val="0"/>
      <w:divBdr>
        <w:top w:val="none" w:sz="0" w:space="0" w:color="auto"/>
        <w:left w:val="none" w:sz="0" w:space="0" w:color="auto"/>
        <w:bottom w:val="none" w:sz="0" w:space="0" w:color="auto"/>
        <w:right w:val="none" w:sz="0" w:space="0" w:color="auto"/>
      </w:divBdr>
      <w:divsChild>
        <w:div w:id="163279641">
          <w:marLeft w:val="0"/>
          <w:marRight w:val="0"/>
          <w:marTop w:val="0"/>
          <w:marBottom w:val="0"/>
          <w:divBdr>
            <w:top w:val="none" w:sz="0" w:space="0" w:color="auto"/>
            <w:left w:val="none" w:sz="0" w:space="0" w:color="auto"/>
            <w:bottom w:val="none" w:sz="0" w:space="0" w:color="auto"/>
            <w:right w:val="none" w:sz="0" w:space="0" w:color="auto"/>
          </w:divBdr>
        </w:div>
      </w:divsChild>
    </w:div>
    <w:div w:id="1038117440">
      <w:bodyDiv w:val="1"/>
      <w:marLeft w:val="0"/>
      <w:marRight w:val="0"/>
      <w:marTop w:val="0"/>
      <w:marBottom w:val="0"/>
      <w:divBdr>
        <w:top w:val="none" w:sz="0" w:space="0" w:color="auto"/>
        <w:left w:val="none" w:sz="0" w:space="0" w:color="auto"/>
        <w:bottom w:val="none" w:sz="0" w:space="0" w:color="auto"/>
        <w:right w:val="none" w:sz="0" w:space="0" w:color="auto"/>
      </w:divBdr>
    </w:div>
    <w:div w:id="1194609865">
      <w:bodyDiv w:val="1"/>
      <w:marLeft w:val="0"/>
      <w:marRight w:val="0"/>
      <w:marTop w:val="0"/>
      <w:marBottom w:val="0"/>
      <w:divBdr>
        <w:top w:val="none" w:sz="0" w:space="0" w:color="auto"/>
        <w:left w:val="none" w:sz="0" w:space="0" w:color="auto"/>
        <w:bottom w:val="none" w:sz="0" w:space="0" w:color="auto"/>
        <w:right w:val="none" w:sz="0" w:space="0" w:color="auto"/>
      </w:divBdr>
    </w:div>
    <w:div w:id="1638336923">
      <w:bodyDiv w:val="1"/>
      <w:marLeft w:val="0"/>
      <w:marRight w:val="0"/>
      <w:marTop w:val="0"/>
      <w:marBottom w:val="0"/>
      <w:divBdr>
        <w:top w:val="none" w:sz="0" w:space="0" w:color="auto"/>
        <w:left w:val="none" w:sz="0" w:space="0" w:color="auto"/>
        <w:bottom w:val="none" w:sz="0" w:space="0" w:color="auto"/>
        <w:right w:val="none" w:sz="0" w:space="0" w:color="auto"/>
      </w:divBdr>
    </w:div>
    <w:div w:id="1726099679">
      <w:bodyDiv w:val="1"/>
      <w:marLeft w:val="0"/>
      <w:marRight w:val="0"/>
      <w:marTop w:val="0"/>
      <w:marBottom w:val="0"/>
      <w:divBdr>
        <w:top w:val="none" w:sz="0" w:space="0" w:color="auto"/>
        <w:left w:val="none" w:sz="0" w:space="0" w:color="auto"/>
        <w:bottom w:val="none" w:sz="0" w:space="0" w:color="auto"/>
        <w:right w:val="none" w:sz="0" w:space="0" w:color="auto"/>
      </w:divBdr>
    </w:div>
    <w:div w:id="1901751433">
      <w:bodyDiv w:val="1"/>
      <w:marLeft w:val="0"/>
      <w:marRight w:val="0"/>
      <w:marTop w:val="0"/>
      <w:marBottom w:val="0"/>
      <w:divBdr>
        <w:top w:val="none" w:sz="0" w:space="0" w:color="auto"/>
        <w:left w:val="none" w:sz="0" w:space="0" w:color="auto"/>
        <w:bottom w:val="none" w:sz="0" w:space="0" w:color="auto"/>
        <w:right w:val="none" w:sz="0" w:space="0" w:color="auto"/>
      </w:divBdr>
    </w:div>
    <w:div w:id="195560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ademia.edu/44005667/Holding_Familiar_e_Suas_Vantagens_Gladston_Mamed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leis/l9718compilada.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l943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analto.gov.br/ccivil_03/constituicao/constituicao.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trevisaneditora.com.br/produto?id=5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34462-4658-43B4-94DA-AA7988027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1850</Words>
  <Characters>9992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 Henrique R. da Silva</dc:creator>
  <cp:lastModifiedBy>anacl</cp:lastModifiedBy>
  <cp:revision>2</cp:revision>
  <dcterms:created xsi:type="dcterms:W3CDTF">2024-11-30T23:48:00Z</dcterms:created>
  <dcterms:modified xsi:type="dcterms:W3CDTF">2024-11-30T23:48:00Z</dcterms:modified>
</cp:coreProperties>
</file>