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FF9CAAD" w14:textId="77777777" w:rsidR="00A60453" w:rsidRPr="00FF100A" w:rsidRDefault="008D4FBC" w:rsidP="00FF100A">
      <w:pPr>
        <w:spacing w:before="240" w:after="240" w:line="360" w:lineRule="auto"/>
        <w:jc w:val="center"/>
        <w:rPr>
          <w:sz w:val="24"/>
          <w:szCs w:val="24"/>
        </w:rPr>
      </w:pPr>
      <w:r w:rsidRPr="00FF100A">
        <w:rPr>
          <w:sz w:val="24"/>
          <w:szCs w:val="24"/>
        </w:rPr>
        <w:t>EFEITOS DO TRATAMENTO COM CANABIDIOL E DO TREINAMENTO FÍSICO AERÓBICO EM MODELO EXPERIMENTAL DE AUTISMO</w:t>
      </w:r>
    </w:p>
    <w:p w14:paraId="34C863F8" w14:textId="4FBA9AB2" w:rsidR="00456731" w:rsidRPr="00FF100A" w:rsidRDefault="00B02895" w:rsidP="00FF100A">
      <w:pPr>
        <w:spacing w:before="240" w:after="240" w:line="360" w:lineRule="auto"/>
        <w:jc w:val="center"/>
        <w:rPr>
          <w:sz w:val="24"/>
          <w:szCs w:val="24"/>
        </w:rPr>
      </w:pPr>
      <w:r w:rsidRPr="00FF100A">
        <w:rPr>
          <w:sz w:val="24"/>
          <w:szCs w:val="24"/>
        </w:rPr>
        <w:t>Evelyn da Conceição</w:t>
      </w:r>
      <w:r w:rsidR="00F00504" w:rsidRPr="00FF100A">
        <w:rPr>
          <w:sz w:val="24"/>
          <w:szCs w:val="24"/>
        </w:rPr>
        <w:t xml:space="preserve"> (e-mail: 8222240499@ulife.com.br)</w:t>
      </w:r>
      <w:r w:rsidRPr="00FF100A">
        <w:rPr>
          <w:sz w:val="24"/>
          <w:szCs w:val="24"/>
        </w:rPr>
        <w:t>;</w:t>
      </w:r>
      <w:r w:rsidR="00F00504" w:rsidRPr="00FF100A">
        <w:rPr>
          <w:sz w:val="24"/>
          <w:szCs w:val="24"/>
        </w:rPr>
        <w:br/>
      </w:r>
      <w:r w:rsidRPr="00FF100A">
        <w:rPr>
          <w:sz w:val="24"/>
          <w:szCs w:val="24"/>
        </w:rPr>
        <w:t>Juliane Figueiredo dos Santos</w:t>
      </w:r>
      <w:r w:rsidRPr="00FF100A">
        <w:rPr>
          <w:sz w:val="24"/>
          <w:szCs w:val="24"/>
          <w:highlight w:val="white"/>
        </w:rPr>
        <w:t xml:space="preserve">; </w:t>
      </w:r>
      <w:r w:rsidRPr="00FF100A">
        <w:rPr>
          <w:sz w:val="24"/>
          <w:szCs w:val="24"/>
        </w:rPr>
        <w:t>Larissa Rodrigues Moreira</w:t>
      </w:r>
      <w:r w:rsidR="00452A03" w:rsidRPr="00FF100A">
        <w:rPr>
          <w:sz w:val="24"/>
          <w:szCs w:val="24"/>
        </w:rPr>
        <w:t xml:space="preserve">; </w:t>
      </w:r>
      <w:r w:rsidR="008D4FBC" w:rsidRPr="00FF100A">
        <w:rPr>
          <w:sz w:val="24"/>
          <w:szCs w:val="24"/>
        </w:rPr>
        <w:t xml:space="preserve">Leonardo Ribeiro Miedes; </w:t>
      </w:r>
      <w:r w:rsidR="00456731" w:rsidRPr="00FF100A">
        <w:rPr>
          <w:sz w:val="24"/>
          <w:szCs w:val="24"/>
        </w:rPr>
        <w:t xml:space="preserve">Thais </w:t>
      </w:r>
      <w:proofErr w:type="spellStart"/>
      <w:r w:rsidR="00456731" w:rsidRPr="00FF100A">
        <w:rPr>
          <w:sz w:val="24"/>
          <w:szCs w:val="24"/>
        </w:rPr>
        <w:t>Miriã</w:t>
      </w:r>
      <w:proofErr w:type="spellEnd"/>
      <w:r w:rsidR="00456731" w:rsidRPr="00FF100A">
        <w:rPr>
          <w:sz w:val="24"/>
          <w:szCs w:val="24"/>
        </w:rPr>
        <w:t xml:space="preserve"> da Silva Santos;</w:t>
      </w:r>
      <w:r w:rsidR="00817C9D">
        <w:rPr>
          <w:sz w:val="24"/>
          <w:szCs w:val="24"/>
        </w:rPr>
        <w:t xml:space="preserve"> </w:t>
      </w:r>
      <w:r w:rsidR="00AC63D0" w:rsidRPr="00FF100A">
        <w:rPr>
          <w:sz w:val="24"/>
          <w:szCs w:val="24"/>
        </w:rPr>
        <w:t xml:space="preserve">Victor Hugo Martins de Miranda; </w:t>
      </w:r>
      <w:r w:rsidR="00456731" w:rsidRPr="00FF100A">
        <w:rPr>
          <w:sz w:val="24"/>
          <w:szCs w:val="24"/>
        </w:rPr>
        <w:t>Nayara Barbosa Lopes</w:t>
      </w:r>
      <w:r w:rsidR="00A61344" w:rsidRPr="00FF100A">
        <w:rPr>
          <w:sz w:val="24"/>
          <w:szCs w:val="24"/>
        </w:rPr>
        <w:t xml:space="preserve">; </w:t>
      </w:r>
      <w:r w:rsidR="00E62D50" w:rsidRPr="00FF100A">
        <w:rPr>
          <w:sz w:val="24"/>
          <w:szCs w:val="24"/>
        </w:rPr>
        <w:t>Leandro da Costa Freire;</w:t>
      </w:r>
      <w:r w:rsidR="00817C9D">
        <w:rPr>
          <w:sz w:val="24"/>
          <w:szCs w:val="24"/>
        </w:rPr>
        <w:t xml:space="preserve"> </w:t>
      </w:r>
      <w:r w:rsidR="00E62D50" w:rsidRPr="00FF100A">
        <w:rPr>
          <w:sz w:val="24"/>
          <w:szCs w:val="24"/>
        </w:rPr>
        <w:t>Kátia De Angelis</w:t>
      </w:r>
      <w:r w:rsidR="00AC63D0" w:rsidRPr="00FF100A">
        <w:rPr>
          <w:sz w:val="24"/>
          <w:szCs w:val="24"/>
        </w:rPr>
        <w:t>; Profa. Dra. Nathalia Bernardes</w:t>
      </w:r>
    </w:p>
    <w:p w14:paraId="062A2855" w14:textId="77777777" w:rsidR="00AC63D0" w:rsidRPr="00FF100A" w:rsidRDefault="00AC63D0" w:rsidP="00FF100A">
      <w:pPr>
        <w:spacing w:line="360" w:lineRule="auto"/>
        <w:rPr>
          <w:sz w:val="24"/>
          <w:szCs w:val="24"/>
        </w:rPr>
      </w:pPr>
    </w:p>
    <w:p w14:paraId="21A5D760" w14:textId="5A1F847A" w:rsidR="00A60453" w:rsidRPr="00FF100A" w:rsidRDefault="008D4FBC" w:rsidP="00FF100A">
      <w:pPr>
        <w:spacing w:line="360" w:lineRule="auto"/>
        <w:rPr>
          <w:b/>
          <w:sz w:val="24"/>
          <w:szCs w:val="24"/>
        </w:rPr>
      </w:pPr>
      <w:r w:rsidRPr="00FF100A">
        <w:rPr>
          <w:b/>
          <w:sz w:val="24"/>
          <w:szCs w:val="24"/>
        </w:rPr>
        <w:t>Resumo:</w:t>
      </w:r>
    </w:p>
    <w:p w14:paraId="72444B93" w14:textId="74C4064C" w:rsidR="00A60453" w:rsidRPr="00FF100A" w:rsidRDefault="008D4FBC" w:rsidP="00FF100A">
      <w:pPr>
        <w:spacing w:line="360" w:lineRule="auto"/>
        <w:jc w:val="both"/>
        <w:rPr>
          <w:sz w:val="24"/>
          <w:szCs w:val="24"/>
        </w:rPr>
      </w:pPr>
      <w:r w:rsidRPr="00FF100A">
        <w:rPr>
          <w:b/>
          <w:sz w:val="24"/>
          <w:szCs w:val="24"/>
        </w:rPr>
        <w:t>Introdução:</w:t>
      </w:r>
      <w:r w:rsidRPr="00FF100A">
        <w:rPr>
          <w:sz w:val="24"/>
          <w:szCs w:val="24"/>
        </w:rPr>
        <w:t xml:space="preserve"> O TEA é marcado por déficits sociais, e no Brasil há escassez de terapias aprovadas. </w:t>
      </w:r>
      <w:r w:rsidRPr="00FF100A">
        <w:rPr>
          <w:b/>
          <w:sz w:val="24"/>
          <w:szCs w:val="24"/>
        </w:rPr>
        <w:t>Objetivo:</w:t>
      </w:r>
      <w:r w:rsidRPr="00FF100A">
        <w:rPr>
          <w:sz w:val="24"/>
          <w:szCs w:val="24"/>
        </w:rPr>
        <w:t xml:space="preserve"> Avaliar os efeitos do canabidiol (CBD) e do treinamento físico aeróbico (TFA) no peso corporal e capacidade física em modelo de autismo.</w:t>
      </w:r>
      <w:r w:rsidRPr="00FF100A">
        <w:rPr>
          <w:b/>
          <w:sz w:val="24"/>
          <w:szCs w:val="24"/>
        </w:rPr>
        <w:t xml:space="preserve"> Métodos: </w:t>
      </w:r>
      <w:r w:rsidRPr="00FF100A">
        <w:rPr>
          <w:sz w:val="24"/>
          <w:szCs w:val="24"/>
        </w:rPr>
        <w:t>16 rat</w:t>
      </w:r>
      <w:r w:rsidR="003D5B10">
        <w:rPr>
          <w:sz w:val="24"/>
          <w:szCs w:val="24"/>
        </w:rPr>
        <w:t>a</w:t>
      </w:r>
      <w:r w:rsidRPr="00FF100A">
        <w:rPr>
          <w:sz w:val="24"/>
          <w:szCs w:val="24"/>
        </w:rPr>
        <w:t xml:space="preserve">s Wistar, divididas em grupos: Controle (GC=6), </w:t>
      </w:r>
      <w:proofErr w:type="spellStart"/>
      <w:r w:rsidRPr="00FF100A">
        <w:rPr>
          <w:sz w:val="24"/>
          <w:szCs w:val="24"/>
        </w:rPr>
        <w:t>Autismo+CBD</w:t>
      </w:r>
      <w:proofErr w:type="spellEnd"/>
      <w:r w:rsidRPr="00FF100A">
        <w:rPr>
          <w:sz w:val="24"/>
          <w:szCs w:val="24"/>
        </w:rPr>
        <w:t xml:space="preserve"> (GAC=5) e Autismo + TFA (GAT=5). O TEA foi induzido por exposição pré-natal ao ácido valpróico (600mg/kg). O TFA (esteira 50-70%) e </w:t>
      </w:r>
      <w:r w:rsidR="003D5B10">
        <w:rPr>
          <w:sz w:val="24"/>
          <w:szCs w:val="24"/>
        </w:rPr>
        <w:t>o</w:t>
      </w:r>
      <w:r w:rsidRPr="00FF100A">
        <w:rPr>
          <w:sz w:val="24"/>
          <w:szCs w:val="24"/>
        </w:rPr>
        <w:t xml:space="preserve"> CBD (20mg/kg</w:t>
      </w:r>
      <w:r w:rsidR="003D5B10">
        <w:rPr>
          <w:sz w:val="24"/>
          <w:szCs w:val="24"/>
        </w:rPr>
        <w:t xml:space="preserve"> gavagem</w:t>
      </w:r>
      <w:r w:rsidRPr="00FF100A">
        <w:rPr>
          <w:sz w:val="24"/>
          <w:szCs w:val="24"/>
        </w:rPr>
        <w:t>) ocorreram 5 vezes/semana/8 semanas (CEUA</w:t>
      </w:r>
      <w:r w:rsidR="003D5B10">
        <w:rPr>
          <w:sz w:val="24"/>
          <w:szCs w:val="24"/>
        </w:rPr>
        <w:t xml:space="preserve"> </w:t>
      </w:r>
      <w:r w:rsidRPr="00FF100A">
        <w:rPr>
          <w:sz w:val="24"/>
          <w:szCs w:val="24"/>
        </w:rPr>
        <w:t xml:space="preserve">USJT 100/23; UNIFESP 3689250424). </w:t>
      </w:r>
      <w:r w:rsidRPr="00FF100A">
        <w:rPr>
          <w:b/>
          <w:sz w:val="24"/>
          <w:szCs w:val="24"/>
        </w:rPr>
        <w:t>Resultados:</w:t>
      </w:r>
      <w:r w:rsidRPr="00FF100A">
        <w:rPr>
          <w:sz w:val="24"/>
          <w:szCs w:val="24"/>
        </w:rPr>
        <w:t xml:space="preserve"> Os grupos intervenção apresentaram maior peso no início do protocolo (GAC: +14,10% e GAT: +12,94%) vs. GC. O GAT aumentou (17,65%) a velocidade na 4ª semana vs. GAC, aumentou (13,50%) o tempo de corrida vs. GC e (25,85%) vs. GAC. Na 8ª semana, o GAT aumentou (64,71%) a velocidade vs. GC e (47,37%) vs. GAC, e aumentou (66,45%) o tempo de corrida vs. GC e (52,66%) vs. GAC.</w:t>
      </w:r>
      <w:r w:rsidRPr="00FF100A">
        <w:rPr>
          <w:b/>
          <w:sz w:val="24"/>
          <w:szCs w:val="24"/>
        </w:rPr>
        <w:t xml:space="preserve"> Conclusão:</w:t>
      </w:r>
      <w:r w:rsidRPr="00FF100A">
        <w:rPr>
          <w:sz w:val="24"/>
          <w:szCs w:val="24"/>
        </w:rPr>
        <w:t xml:space="preserve"> O TFA mostrou potencial para melhorar a capacidade física em modelo experimental de autismo</w:t>
      </w:r>
      <w:r w:rsidR="00B15B9E">
        <w:rPr>
          <w:sz w:val="24"/>
          <w:szCs w:val="24"/>
        </w:rPr>
        <w:t>.</w:t>
      </w:r>
    </w:p>
    <w:p w14:paraId="41142E1A" w14:textId="77777777" w:rsidR="00A60453" w:rsidRPr="00FF100A" w:rsidRDefault="008D4FBC" w:rsidP="00FF100A">
      <w:pPr>
        <w:spacing w:before="240" w:after="240" w:line="360" w:lineRule="auto"/>
        <w:jc w:val="both"/>
        <w:rPr>
          <w:sz w:val="24"/>
          <w:szCs w:val="24"/>
        </w:rPr>
      </w:pPr>
      <w:r w:rsidRPr="00FF100A">
        <w:rPr>
          <w:b/>
          <w:sz w:val="24"/>
          <w:szCs w:val="24"/>
        </w:rPr>
        <w:t>Palavras-chave:</w:t>
      </w:r>
      <w:r w:rsidRPr="00FF100A">
        <w:rPr>
          <w:sz w:val="24"/>
          <w:szCs w:val="24"/>
        </w:rPr>
        <w:t xml:space="preserve"> Transtorno do Espectro Autista, Canabidiol, Treinamento Físico Aeróbico. </w:t>
      </w:r>
    </w:p>
    <w:p w14:paraId="3E398445" w14:textId="77777777" w:rsidR="00A60453" w:rsidRPr="00FF100A" w:rsidRDefault="008D4FBC" w:rsidP="00FF100A">
      <w:pPr>
        <w:spacing w:before="240" w:after="240" w:line="360" w:lineRule="auto"/>
        <w:jc w:val="both"/>
        <w:rPr>
          <w:b/>
          <w:sz w:val="24"/>
          <w:szCs w:val="24"/>
        </w:rPr>
      </w:pPr>
      <w:r w:rsidRPr="00FF100A">
        <w:rPr>
          <w:b/>
          <w:sz w:val="24"/>
          <w:szCs w:val="24"/>
        </w:rPr>
        <w:t>Introdução:</w:t>
      </w:r>
    </w:p>
    <w:p w14:paraId="3F942954" w14:textId="4EC7270F" w:rsidR="00A60453" w:rsidRPr="00FF100A" w:rsidRDefault="008D4FBC" w:rsidP="00FF100A">
      <w:pPr>
        <w:spacing w:before="240" w:after="240" w:line="360" w:lineRule="auto"/>
        <w:jc w:val="both"/>
        <w:rPr>
          <w:sz w:val="24"/>
          <w:szCs w:val="24"/>
        </w:rPr>
      </w:pPr>
      <w:r w:rsidRPr="00FF100A">
        <w:rPr>
          <w:sz w:val="24"/>
          <w:szCs w:val="24"/>
        </w:rPr>
        <w:t xml:space="preserve">O Transtorno do Espectro Autista (TEA) consiste em um conjunto de distúrbios heterogêneos caracterizados por alterações no neurodesenvolvimento. A prevalência do TEA vem aumentando nas últimas décadas. Isso se deve a vários fatores, dentre eles: mudanças nos meios diagnóstico, pesquisas acerca do TEA e divulgação sobre </w:t>
      </w:r>
      <w:r w:rsidRPr="00FF100A">
        <w:rPr>
          <w:sz w:val="24"/>
          <w:szCs w:val="24"/>
        </w:rPr>
        <w:lastRenderedPageBreak/>
        <w:t>o transtorno. A literatura descreve que a prevalência do TEA é de quatro a cinco vezes maior em homens do que mulheres (SALARI et al., 2022).</w:t>
      </w:r>
    </w:p>
    <w:p w14:paraId="32024253" w14:textId="1C88FFB9" w:rsidR="00A60453" w:rsidRPr="00FF100A" w:rsidRDefault="008D4FBC" w:rsidP="00FF100A">
      <w:pPr>
        <w:spacing w:before="240" w:after="240" w:line="360" w:lineRule="auto"/>
        <w:jc w:val="both"/>
        <w:rPr>
          <w:sz w:val="24"/>
          <w:szCs w:val="24"/>
        </w:rPr>
      </w:pPr>
      <w:r w:rsidRPr="00FF100A">
        <w:rPr>
          <w:sz w:val="24"/>
          <w:szCs w:val="24"/>
        </w:rPr>
        <w:t>A neurofisiologia do TEA é um aspecto fundamental para entender as bases biológicas do transtorno. Estudos revelam alterações em neurotransmissores como ácido γ-</w:t>
      </w:r>
      <w:proofErr w:type="spellStart"/>
      <w:r w:rsidRPr="00FF100A">
        <w:rPr>
          <w:sz w:val="24"/>
          <w:szCs w:val="24"/>
        </w:rPr>
        <w:t>aminobutírico</w:t>
      </w:r>
      <w:proofErr w:type="spellEnd"/>
      <w:r w:rsidRPr="00FF100A">
        <w:rPr>
          <w:sz w:val="24"/>
          <w:szCs w:val="24"/>
        </w:rPr>
        <w:t xml:space="preserve"> (GABA) e glutamato. Reduções na densidade de receptores GABA e aumento da atividade </w:t>
      </w:r>
      <w:proofErr w:type="spellStart"/>
      <w:r w:rsidRPr="00FF100A">
        <w:rPr>
          <w:sz w:val="24"/>
          <w:szCs w:val="24"/>
        </w:rPr>
        <w:t>glutamatérgica</w:t>
      </w:r>
      <w:proofErr w:type="spellEnd"/>
      <w:r w:rsidRPr="00FF100A">
        <w:rPr>
          <w:sz w:val="24"/>
          <w:szCs w:val="24"/>
        </w:rPr>
        <w:t xml:space="preserve"> no córtex cingulado estão associados a déficits socioemocionais e comportamentos estereotipados (KERCHE-SILVA; CAMPAROTO; RODRIGUES, 2020; SARAWAGI; SONI; PATEL, 2021) (MAROTTA et al., 2020; ZHENG et al., 2016).</w:t>
      </w:r>
    </w:p>
    <w:p w14:paraId="1BB73695" w14:textId="17B637C6" w:rsidR="00A60453" w:rsidRPr="00FF100A" w:rsidRDefault="008D4FBC" w:rsidP="00FF100A">
      <w:pPr>
        <w:spacing w:before="240" w:after="240" w:line="360" w:lineRule="auto"/>
        <w:jc w:val="both"/>
        <w:rPr>
          <w:sz w:val="24"/>
          <w:szCs w:val="24"/>
        </w:rPr>
      </w:pPr>
      <w:r w:rsidRPr="00FF100A">
        <w:rPr>
          <w:sz w:val="24"/>
          <w:szCs w:val="24"/>
        </w:rPr>
        <w:t>Além disso, o sistema endocanabinóide, composto por receptores CB1 e CB2, regula funções neurológicas e autonômicas (SCHURMAN et al., 2020)</w:t>
      </w:r>
      <w:r w:rsidR="00FF100A">
        <w:rPr>
          <w:sz w:val="24"/>
          <w:szCs w:val="24"/>
        </w:rPr>
        <w:t>.</w:t>
      </w:r>
      <w:r w:rsidRPr="00FF100A">
        <w:rPr>
          <w:sz w:val="24"/>
          <w:szCs w:val="24"/>
        </w:rPr>
        <w:t xml:space="preserve"> O canabidiol (CBD), um composto não psicoativo da </w:t>
      </w:r>
      <w:r w:rsidRPr="00FF100A">
        <w:rPr>
          <w:i/>
          <w:sz w:val="24"/>
          <w:szCs w:val="24"/>
        </w:rPr>
        <w:t>Cannabis sativa</w:t>
      </w:r>
      <w:r w:rsidRPr="00FF100A">
        <w:rPr>
          <w:sz w:val="24"/>
          <w:szCs w:val="24"/>
        </w:rPr>
        <w:t xml:space="preserve"> tem demonstrado efeitos ansiolíticos, anti-inflamatórios e neuroprotetores. Estudos clínicos e pré-clínicos indicam que o CBD ajuda na redução de ansiedade por meio de interações com os receptores endocanabinoides e </w:t>
      </w:r>
      <w:proofErr w:type="spellStart"/>
      <w:r w:rsidRPr="00FF100A">
        <w:rPr>
          <w:sz w:val="24"/>
          <w:szCs w:val="24"/>
        </w:rPr>
        <w:t>GABAérgicos</w:t>
      </w:r>
      <w:proofErr w:type="spellEnd"/>
      <w:r w:rsidRPr="00FF100A">
        <w:rPr>
          <w:sz w:val="24"/>
          <w:szCs w:val="24"/>
        </w:rPr>
        <w:t xml:space="preserve"> (BLESSING et al., 2015).</w:t>
      </w:r>
    </w:p>
    <w:p w14:paraId="5EB5B018" w14:textId="45C7A632" w:rsidR="00A60453" w:rsidRPr="00FF100A" w:rsidRDefault="008D4FBC" w:rsidP="00FF100A">
      <w:pPr>
        <w:spacing w:before="240" w:after="240" w:line="360" w:lineRule="auto"/>
        <w:jc w:val="both"/>
        <w:rPr>
          <w:sz w:val="24"/>
          <w:szCs w:val="24"/>
        </w:rPr>
      </w:pPr>
      <w:r w:rsidRPr="00FF100A">
        <w:rPr>
          <w:sz w:val="24"/>
          <w:szCs w:val="24"/>
        </w:rPr>
        <w:t>O treinamento físico aeróbico (TFA), por sua vez, é reconhecido por promover plasticidade cerebral (JIA et al., 2022)</w:t>
      </w:r>
      <w:r w:rsidR="00FF100A">
        <w:rPr>
          <w:sz w:val="24"/>
          <w:szCs w:val="24"/>
        </w:rPr>
        <w:t>.</w:t>
      </w:r>
      <w:r w:rsidRPr="00FF100A">
        <w:rPr>
          <w:sz w:val="24"/>
          <w:szCs w:val="24"/>
        </w:rPr>
        <w:t xml:space="preserve"> O TFA ocasiona um equilíbrio entre o sistema simpático e parassimpático, uma vez que, o simpático é ativado, aumentando a pressão arterial, a frequência cardíaca e a taxa respiratória. À medida que o TFA é realizado regularmente, o corpo se adapta ao estresse fisiológico do exercício e melhora sua capacidade de resposta ao simpático, além de melhorar a recuperação cardíaca autonômica, o que aumenta a VFC e promove a homeostase, fatores que diminuem o estresse e os riscos cardiovasculares (STANLEY; PEAKE; BUCHHEIT, 2013).</w:t>
      </w:r>
    </w:p>
    <w:p w14:paraId="7B316ADF" w14:textId="77777777" w:rsidR="00A60453" w:rsidRPr="00FF100A" w:rsidRDefault="008D4FBC" w:rsidP="00FF100A">
      <w:pPr>
        <w:spacing w:before="240" w:after="240" w:line="360" w:lineRule="auto"/>
        <w:jc w:val="both"/>
        <w:rPr>
          <w:b/>
          <w:sz w:val="24"/>
          <w:szCs w:val="24"/>
        </w:rPr>
      </w:pPr>
      <w:r w:rsidRPr="00FF100A">
        <w:rPr>
          <w:b/>
          <w:sz w:val="24"/>
          <w:szCs w:val="24"/>
        </w:rPr>
        <w:t>Métodos:</w:t>
      </w:r>
    </w:p>
    <w:p w14:paraId="29976C17" w14:textId="402E38F4" w:rsidR="00A60453" w:rsidRPr="00FF100A" w:rsidRDefault="008D4FBC" w:rsidP="00FF100A">
      <w:pPr>
        <w:spacing w:before="240" w:after="240" w:line="360" w:lineRule="auto"/>
        <w:jc w:val="both"/>
        <w:rPr>
          <w:sz w:val="24"/>
          <w:szCs w:val="24"/>
        </w:rPr>
      </w:pPr>
      <w:r w:rsidRPr="00FF100A">
        <w:rPr>
          <w:sz w:val="24"/>
          <w:szCs w:val="24"/>
        </w:rPr>
        <w:t xml:space="preserve">Foram utilizadas 16 ratas Wistar fêmeas, que foram divididas em três grupos: Grupo Controle (GC), Grupo Autismo Canabidiol (GAC) e Grupo Autismo Treinado (GAT). O modelo de autismo foi induzido por meio da administração de ácido </w:t>
      </w:r>
      <w:proofErr w:type="spellStart"/>
      <w:r w:rsidRPr="00FF100A">
        <w:rPr>
          <w:sz w:val="24"/>
          <w:szCs w:val="24"/>
        </w:rPr>
        <w:t>valproico</w:t>
      </w:r>
      <w:proofErr w:type="spellEnd"/>
      <w:r w:rsidRPr="00FF100A">
        <w:rPr>
          <w:sz w:val="24"/>
          <w:szCs w:val="24"/>
        </w:rPr>
        <w:t xml:space="preserve"> (VPA) durante a gestação. Após 21 dias do nascimento, os animais da prole foram alocados nos grupos citados. O tratamento com CBD (20 mg/kg gavagem) foi realizado 1 vez/dia, 5 dias/semana, durante 8 semanas. O TFA foi realizado em esteira (50 a 70% </w:t>
      </w:r>
      <w:r w:rsidRPr="00FF100A">
        <w:rPr>
          <w:sz w:val="24"/>
          <w:szCs w:val="24"/>
        </w:rPr>
        <w:lastRenderedPageBreak/>
        <w:t xml:space="preserve">da velocidade máxima de corrida), 1h/dia, 5 dias/semana, durante 8 semanas. As avaliações incluíram parâmetros como: peso corporal e capacidade física (teste de esforço máximo). A análise dos dados utilizou a ANOVA, com post-hoc de </w:t>
      </w:r>
      <w:proofErr w:type="spellStart"/>
      <w:r w:rsidRPr="00FF100A">
        <w:rPr>
          <w:sz w:val="24"/>
          <w:szCs w:val="24"/>
        </w:rPr>
        <w:t>Tukey</w:t>
      </w:r>
      <w:proofErr w:type="spellEnd"/>
      <w:r w:rsidRPr="00FF100A">
        <w:rPr>
          <w:sz w:val="24"/>
          <w:szCs w:val="24"/>
        </w:rPr>
        <w:t>, com um nível de significância de 5% (CEUA-USJT 100/2023; CEUA-UNIFESP nº 3689250424).</w:t>
      </w:r>
    </w:p>
    <w:p w14:paraId="311A86C6" w14:textId="77777777" w:rsidR="00A60453" w:rsidRPr="00FF100A" w:rsidRDefault="008D4FBC" w:rsidP="00FF100A">
      <w:pPr>
        <w:spacing w:before="240" w:after="240" w:line="360" w:lineRule="auto"/>
        <w:jc w:val="both"/>
        <w:rPr>
          <w:b/>
          <w:sz w:val="24"/>
          <w:szCs w:val="24"/>
        </w:rPr>
      </w:pPr>
      <w:r w:rsidRPr="00FF100A">
        <w:rPr>
          <w:b/>
          <w:sz w:val="24"/>
          <w:szCs w:val="24"/>
        </w:rPr>
        <w:t>Resultados e Discussões:</w:t>
      </w:r>
    </w:p>
    <w:p w14:paraId="61B11A4B" w14:textId="77777777" w:rsidR="00A60453" w:rsidRPr="00FF100A" w:rsidRDefault="008D4FBC" w:rsidP="00FF100A">
      <w:pPr>
        <w:spacing w:before="240" w:after="240" w:line="360" w:lineRule="auto"/>
        <w:jc w:val="both"/>
        <w:rPr>
          <w:sz w:val="24"/>
          <w:szCs w:val="24"/>
        </w:rPr>
      </w:pPr>
      <w:r w:rsidRPr="00FF100A">
        <w:rPr>
          <w:sz w:val="24"/>
          <w:szCs w:val="24"/>
        </w:rPr>
        <w:t>Os resultados de peso corporal estão apresentados na Tabela 1. Os grupos intervenção (GAC: 97,2 ± 4,2 e GAT: 96,2 ± 4,6 g) apresentaram maior peso corporal em relação ao grupo controle (GC: 85,2 ± 8,8g) no início do protocolo. Na 4ª semana todos os grupos (GC: 172,2 ± 12,6; GAC: 185,0 ± 9,0; GAT: 188,7 ± 11,6 g) apresentaram aumento do peso corporal em relação aos seus valores no início do protocolo. E na 8ª semana (GC: 222,6 ± 15,7; GAC: 235,0 ± 7,4; GAT: 240,0 ± 11,0 g) apresentaram aumento do peso corporal em relação a 4ª semana e aos seus valores no início do protocolo. Não foram observadas diferenças entre os grupos na 4ª semana e no final do protocolo.</w:t>
      </w:r>
    </w:p>
    <w:p w14:paraId="624A8A35" w14:textId="77777777" w:rsidR="00A60453" w:rsidRPr="00FF100A" w:rsidRDefault="008D4FBC" w:rsidP="00FF100A">
      <w:pPr>
        <w:spacing w:before="240" w:after="240" w:line="240" w:lineRule="auto"/>
        <w:jc w:val="both"/>
        <w:rPr>
          <w:sz w:val="24"/>
          <w:szCs w:val="24"/>
        </w:rPr>
      </w:pPr>
      <w:r w:rsidRPr="00FF100A">
        <w:rPr>
          <w:b/>
          <w:sz w:val="24"/>
          <w:szCs w:val="24"/>
        </w:rPr>
        <w:t>Tabela 1</w:t>
      </w:r>
      <w:r w:rsidRPr="00FF100A">
        <w:rPr>
          <w:sz w:val="24"/>
          <w:szCs w:val="24"/>
        </w:rPr>
        <w:t xml:space="preserve"> - Peso corporal.</w:t>
      </w:r>
    </w:p>
    <w:tbl>
      <w:tblPr>
        <w:tblStyle w:val="a"/>
        <w:tblW w:w="88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20"/>
        <w:gridCol w:w="2220"/>
        <w:gridCol w:w="2220"/>
        <w:gridCol w:w="2220"/>
      </w:tblGrid>
      <w:tr w:rsidR="00A60453" w:rsidRPr="00FF100A" w14:paraId="19FAF1F9" w14:textId="77777777">
        <w:trPr>
          <w:trHeight w:val="780"/>
        </w:trPr>
        <w:tc>
          <w:tcPr>
            <w:tcW w:w="2220" w:type="dxa"/>
            <w:tcBorders>
              <w:top w:val="single" w:sz="7" w:space="0" w:color="000000"/>
              <w:left w:val="nil"/>
              <w:bottom w:val="single" w:sz="7" w:space="0" w:color="000000"/>
              <w:right w:val="nil"/>
            </w:tcBorders>
            <w:tcMar>
              <w:top w:w="0" w:type="dxa"/>
              <w:left w:w="100" w:type="dxa"/>
              <w:bottom w:w="0" w:type="dxa"/>
              <w:right w:w="100" w:type="dxa"/>
            </w:tcMar>
          </w:tcPr>
          <w:p w14:paraId="60A500B9" w14:textId="77777777" w:rsidR="00A60453" w:rsidRPr="00FF100A" w:rsidRDefault="008D4FBC" w:rsidP="00FF100A">
            <w:pPr>
              <w:spacing w:before="240" w:after="240" w:line="240" w:lineRule="auto"/>
              <w:jc w:val="both"/>
              <w:rPr>
                <w:b/>
                <w:sz w:val="24"/>
                <w:szCs w:val="24"/>
              </w:rPr>
            </w:pPr>
            <w:r w:rsidRPr="00FF100A">
              <w:rPr>
                <w:b/>
                <w:sz w:val="24"/>
                <w:szCs w:val="24"/>
              </w:rPr>
              <w:t>Peso (g)</w:t>
            </w:r>
          </w:p>
        </w:tc>
        <w:tc>
          <w:tcPr>
            <w:tcW w:w="2220" w:type="dxa"/>
            <w:tcBorders>
              <w:top w:val="single" w:sz="7" w:space="0" w:color="000000"/>
              <w:left w:val="nil"/>
              <w:bottom w:val="single" w:sz="7" w:space="0" w:color="000000"/>
              <w:right w:val="nil"/>
            </w:tcBorders>
            <w:tcMar>
              <w:top w:w="0" w:type="dxa"/>
              <w:left w:w="100" w:type="dxa"/>
              <w:bottom w:w="0" w:type="dxa"/>
              <w:right w:w="100" w:type="dxa"/>
            </w:tcMar>
          </w:tcPr>
          <w:p w14:paraId="3519A182" w14:textId="77777777" w:rsidR="00A60453" w:rsidRPr="00FF100A" w:rsidRDefault="008D4FBC" w:rsidP="00FF100A">
            <w:pPr>
              <w:spacing w:before="240" w:after="240" w:line="240" w:lineRule="auto"/>
              <w:jc w:val="both"/>
              <w:rPr>
                <w:b/>
                <w:sz w:val="24"/>
                <w:szCs w:val="24"/>
              </w:rPr>
            </w:pPr>
            <w:r w:rsidRPr="00FF100A">
              <w:rPr>
                <w:b/>
                <w:sz w:val="24"/>
                <w:szCs w:val="24"/>
              </w:rPr>
              <w:t>GC</w:t>
            </w:r>
          </w:p>
        </w:tc>
        <w:tc>
          <w:tcPr>
            <w:tcW w:w="2220" w:type="dxa"/>
            <w:tcBorders>
              <w:top w:val="single" w:sz="7" w:space="0" w:color="000000"/>
              <w:left w:val="nil"/>
              <w:bottom w:val="single" w:sz="7" w:space="0" w:color="000000"/>
              <w:right w:val="nil"/>
            </w:tcBorders>
            <w:tcMar>
              <w:top w:w="0" w:type="dxa"/>
              <w:left w:w="100" w:type="dxa"/>
              <w:bottom w:w="0" w:type="dxa"/>
              <w:right w:w="100" w:type="dxa"/>
            </w:tcMar>
          </w:tcPr>
          <w:p w14:paraId="3355CC13" w14:textId="77777777" w:rsidR="00A60453" w:rsidRPr="00FF100A" w:rsidRDefault="008D4FBC" w:rsidP="00FF100A">
            <w:pPr>
              <w:spacing w:before="240" w:after="240" w:line="240" w:lineRule="auto"/>
              <w:jc w:val="both"/>
              <w:rPr>
                <w:b/>
                <w:sz w:val="24"/>
                <w:szCs w:val="24"/>
              </w:rPr>
            </w:pPr>
            <w:r w:rsidRPr="00FF100A">
              <w:rPr>
                <w:b/>
                <w:sz w:val="24"/>
                <w:szCs w:val="24"/>
              </w:rPr>
              <w:t>GAC</w:t>
            </w:r>
          </w:p>
        </w:tc>
        <w:tc>
          <w:tcPr>
            <w:tcW w:w="2220" w:type="dxa"/>
            <w:tcBorders>
              <w:top w:val="single" w:sz="7" w:space="0" w:color="000000"/>
              <w:left w:val="nil"/>
              <w:bottom w:val="single" w:sz="7" w:space="0" w:color="000000"/>
              <w:right w:val="nil"/>
            </w:tcBorders>
            <w:tcMar>
              <w:top w:w="0" w:type="dxa"/>
              <w:left w:w="100" w:type="dxa"/>
              <w:bottom w:w="0" w:type="dxa"/>
              <w:right w:w="100" w:type="dxa"/>
            </w:tcMar>
          </w:tcPr>
          <w:p w14:paraId="7D82B231" w14:textId="77777777" w:rsidR="00A60453" w:rsidRPr="00FF100A" w:rsidRDefault="008D4FBC" w:rsidP="00FF100A">
            <w:pPr>
              <w:spacing w:before="240" w:after="240" w:line="240" w:lineRule="auto"/>
              <w:jc w:val="both"/>
              <w:rPr>
                <w:b/>
                <w:sz w:val="24"/>
                <w:szCs w:val="24"/>
              </w:rPr>
            </w:pPr>
            <w:r w:rsidRPr="00FF100A">
              <w:rPr>
                <w:b/>
                <w:sz w:val="24"/>
                <w:szCs w:val="24"/>
              </w:rPr>
              <w:t>GAT</w:t>
            </w:r>
          </w:p>
        </w:tc>
      </w:tr>
      <w:tr w:rsidR="00A60453" w:rsidRPr="00FF100A" w14:paraId="5F087552" w14:textId="77777777">
        <w:trPr>
          <w:trHeight w:val="765"/>
        </w:trPr>
        <w:tc>
          <w:tcPr>
            <w:tcW w:w="2220" w:type="dxa"/>
            <w:tcBorders>
              <w:top w:val="nil"/>
              <w:left w:val="nil"/>
              <w:bottom w:val="nil"/>
              <w:right w:val="nil"/>
            </w:tcBorders>
            <w:tcMar>
              <w:top w:w="0" w:type="dxa"/>
              <w:left w:w="100" w:type="dxa"/>
              <w:bottom w:w="0" w:type="dxa"/>
              <w:right w:w="100" w:type="dxa"/>
            </w:tcMar>
          </w:tcPr>
          <w:p w14:paraId="4B218DC9" w14:textId="77777777" w:rsidR="00A60453" w:rsidRPr="00FF100A" w:rsidRDefault="008D4FBC" w:rsidP="00FF100A">
            <w:pPr>
              <w:spacing w:before="240" w:after="240" w:line="240" w:lineRule="auto"/>
              <w:jc w:val="both"/>
              <w:rPr>
                <w:b/>
                <w:sz w:val="24"/>
                <w:szCs w:val="24"/>
              </w:rPr>
            </w:pPr>
            <w:r w:rsidRPr="00FF100A">
              <w:rPr>
                <w:b/>
                <w:sz w:val="24"/>
                <w:szCs w:val="24"/>
              </w:rPr>
              <w:t>Inicial</w:t>
            </w:r>
          </w:p>
        </w:tc>
        <w:tc>
          <w:tcPr>
            <w:tcW w:w="2220" w:type="dxa"/>
            <w:tcBorders>
              <w:top w:val="nil"/>
              <w:left w:val="nil"/>
              <w:bottom w:val="nil"/>
              <w:right w:val="nil"/>
            </w:tcBorders>
            <w:tcMar>
              <w:top w:w="0" w:type="dxa"/>
              <w:left w:w="100" w:type="dxa"/>
              <w:bottom w:w="0" w:type="dxa"/>
              <w:right w:w="100" w:type="dxa"/>
            </w:tcMar>
          </w:tcPr>
          <w:p w14:paraId="614937ED" w14:textId="77777777" w:rsidR="00A60453" w:rsidRPr="00FF100A" w:rsidRDefault="008D4FBC" w:rsidP="00FF100A">
            <w:pPr>
              <w:spacing w:before="240" w:after="240" w:line="240" w:lineRule="auto"/>
              <w:jc w:val="both"/>
              <w:rPr>
                <w:sz w:val="24"/>
                <w:szCs w:val="24"/>
              </w:rPr>
            </w:pPr>
            <w:r w:rsidRPr="00FF100A">
              <w:rPr>
                <w:sz w:val="24"/>
                <w:szCs w:val="24"/>
              </w:rPr>
              <w:t>85,2 ± 8,8</w:t>
            </w:r>
          </w:p>
        </w:tc>
        <w:tc>
          <w:tcPr>
            <w:tcW w:w="2220" w:type="dxa"/>
            <w:tcBorders>
              <w:top w:val="nil"/>
              <w:left w:val="nil"/>
              <w:bottom w:val="nil"/>
              <w:right w:val="nil"/>
            </w:tcBorders>
            <w:tcMar>
              <w:top w:w="0" w:type="dxa"/>
              <w:left w:w="100" w:type="dxa"/>
              <w:bottom w:w="0" w:type="dxa"/>
              <w:right w:w="100" w:type="dxa"/>
            </w:tcMar>
          </w:tcPr>
          <w:p w14:paraId="50F36C1E" w14:textId="77777777" w:rsidR="00A60453" w:rsidRPr="00FF100A" w:rsidRDefault="008D4FBC" w:rsidP="00FF100A">
            <w:pPr>
              <w:spacing w:before="240" w:after="240" w:line="240" w:lineRule="auto"/>
              <w:jc w:val="both"/>
              <w:rPr>
                <w:sz w:val="24"/>
                <w:szCs w:val="24"/>
              </w:rPr>
            </w:pPr>
            <w:r w:rsidRPr="00FF100A">
              <w:rPr>
                <w:sz w:val="24"/>
                <w:szCs w:val="24"/>
              </w:rPr>
              <w:t>97,2 ± 4,2*</w:t>
            </w:r>
          </w:p>
        </w:tc>
        <w:tc>
          <w:tcPr>
            <w:tcW w:w="2220" w:type="dxa"/>
            <w:tcBorders>
              <w:top w:val="nil"/>
              <w:left w:val="nil"/>
              <w:bottom w:val="nil"/>
              <w:right w:val="nil"/>
            </w:tcBorders>
            <w:tcMar>
              <w:top w:w="0" w:type="dxa"/>
              <w:left w:w="100" w:type="dxa"/>
              <w:bottom w:w="0" w:type="dxa"/>
              <w:right w:w="100" w:type="dxa"/>
            </w:tcMar>
          </w:tcPr>
          <w:p w14:paraId="25879FC1" w14:textId="77777777" w:rsidR="00A60453" w:rsidRPr="00FF100A" w:rsidRDefault="008D4FBC" w:rsidP="00FF100A">
            <w:pPr>
              <w:spacing w:before="240" w:after="240" w:line="240" w:lineRule="auto"/>
              <w:jc w:val="both"/>
              <w:rPr>
                <w:sz w:val="24"/>
                <w:szCs w:val="24"/>
              </w:rPr>
            </w:pPr>
            <w:r w:rsidRPr="00FF100A">
              <w:rPr>
                <w:sz w:val="24"/>
                <w:szCs w:val="24"/>
              </w:rPr>
              <w:t>96,2 ± 4,6*</w:t>
            </w:r>
          </w:p>
        </w:tc>
      </w:tr>
      <w:tr w:rsidR="00A60453" w:rsidRPr="00FF100A" w14:paraId="0E057569" w14:textId="77777777">
        <w:trPr>
          <w:trHeight w:val="765"/>
        </w:trPr>
        <w:tc>
          <w:tcPr>
            <w:tcW w:w="2220" w:type="dxa"/>
            <w:tcBorders>
              <w:top w:val="nil"/>
              <w:left w:val="nil"/>
              <w:bottom w:val="nil"/>
              <w:right w:val="nil"/>
            </w:tcBorders>
            <w:tcMar>
              <w:top w:w="0" w:type="dxa"/>
              <w:left w:w="100" w:type="dxa"/>
              <w:bottom w:w="0" w:type="dxa"/>
              <w:right w:w="100" w:type="dxa"/>
            </w:tcMar>
          </w:tcPr>
          <w:p w14:paraId="6289AC32" w14:textId="77777777" w:rsidR="00A60453" w:rsidRPr="00FF100A" w:rsidRDefault="008D4FBC" w:rsidP="00FF100A">
            <w:pPr>
              <w:spacing w:before="240" w:after="240" w:line="240" w:lineRule="auto"/>
              <w:jc w:val="both"/>
              <w:rPr>
                <w:b/>
                <w:sz w:val="24"/>
                <w:szCs w:val="24"/>
              </w:rPr>
            </w:pPr>
            <w:r w:rsidRPr="00FF100A">
              <w:rPr>
                <w:b/>
                <w:sz w:val="24"/>
                <w:szCs w:val="24"/>
              </w:rPr>
              <w:t>Intermediário</w:t>
            </w:r>
          </w:p>
        </w:tc>
        <w:tc>
          <w:tcPr>
            <w:tcW w:w="2220" w:type="dxa"/>
            <w:tcBorders>
              <w:top w:val="nil"/>
              <w:left w:val="nil"/>
              <w:bottom w:val="nil"/>
              <w:right w:val="nil"/>
            </w:tcBorders>
            <w:tcMar>
              <w:top w:w="0" w:type="dxa"/>
              <w:left w:w="100" w:type="dxa"/>
              <w:bottom w:w="0" w:type="dxa"/>
              <w:right w:w="100" w:type="dxa"/>
            </w:tcMar>
          </w:tcPr>
          <w:p w14:paraId="569FD919" w14:textId="77777777" w:rsidR="00A60453" w:rsidRPr="00FF100A" w:rsidRDefault="008D4FBC" w:rsidP="00FF100A">
            <w:pPr>
              <w:spacing w:before="240" w:after="240" w:line="240" w:lineRule="auto"/>
              <w:jc w:val="both"/>
              <w:rPr>
                <w:sz w:val="24"/>
                <w:szCs w:val="24"/>
              </w:rPr>
            </w:pPr>
            <w:r w:rsidRPr="00FF100A">
              <w:rPr>
                <w:sz w:val="24"/>
                <w:szCs w:val="24"/>
              </w:rPr>
              <w:t>172,2 ± 12,6#</w:t>
            </w:r>
          </w:p>
        </w:tc>
        <w:tc>
          <w:tcPr>
            <w:tcW w:w="2220" w:type="dxa"/>
            <w:tcBorders>
              <w:top w:val="nil"/>
              <w:left w:val="nil"/>
              <w:bottom w:val="nil"/>
              <w:right w:val="nil"/>
            </w:tcBorders>
            <w:tcMar>
              <w:top w:w="0" w:type="dxa"/>
              <w:left w:w="100" w:type="dxa"/>
              <w:bottom w:w="0" w:type="dxa"/>
              <w:right w:w="100" w:type="dxa"/>
            </w:tcMar>
          </w:tcPr>
          <w:p w14:paraId="4D58733E" w14:textId="77777777" w:rsidR="00A60453" w:rsidRPr="00FF100A" w:rsidRDefault="008D4FBC" w:rsidP="00FF100A">
            <w:pPr>
              <w:spacing w:before="240" w:after="240" w:line="240" w:lineRule="auto"/>
              <w:jc w:val="both"/>
              <w:rPr>
                <w:sz w:val="24"/>
                <w:szCs w:val="24"/>
              </w:rPr>
            </w:pPr>
            <w:r w:rsidRPr="00FF100A">
              <w:rPr>
                <w:sz w:val="24"/>
                <w:szCs w:val="24"/>
              </w:rPr>
              <w:t>185,0 ± 9,0#</w:t>
            </w:r>
          </w:p>
        </w:tc>
        <w:tc>
          <w:tcPr>
            <w:tcW w:w="2220" w:type="dxa"/>
            <w:tcBorders>
              <w:top w:val="nil"/>
              <w:left w:val="nil"/>
              <w:bottom w:val="nil"/>
              <w:right w:val="nil"/>
            </w:tcBorders>
            <w:tcMar>
              <w:top w:w="0" w:type="dxa"/>
              <w:left w:w="100" w:type="dxa"/>
              <w:bottom w:w="0" w:type="dxa"/>
              <w:right w:w="100" w:type="dxa"/>
            </w:tcMar>
          </w:tcPr>
          <w:p w14:paraId="5549DF39" w14:textId="77777777" w:rsidR="00A60453" w:rsidRPr="00FF100A" w:rsidRDefault="008D4FBC" w:rsidP="00FF100A">
            <w:pPr>
              <w:spacing w:before="240" w:after="240" w:line="240" w:lineRule="auto"/>
              <w:jc w:val="both"/>
              <w:rPr>
                <w:sz w:val="24"/>
                <w:szCs w:val="24"/>
              </w:rPr>
            </w:pPr>
            <w:r w:rsidRPr="00FF100A">
              <w:rPr>
                <w:sz w:val="24"/>
                <w:szCs w:val="24"/>
              </w:rPr>
              <w:t>188,7 ± 11,6#</w:t>
            </w:r>
          </w:p>
        </w:tc>
      </w:tr>
      <w:tr w:rsidR="00A60453" w:rsidRPr="00FF100A" w14:paraId="12E817A2" w14:textId="77777777">
        <w:trPr>
          <w:trHeight w:val="765"/>
        </w:trPr>
        <w:tc>
          <w:tcPr>
            <w:tcW w:w="2220" w:type="dxa"/>
            <w:tcBorders>
              <w:top w:val="nil"/>
              <w:left w:val="nil"/>
              <w:bottom w:val="single" w:sz="7" w:space="0" w:color="000000"/>
              <w:right w:val="nil"/>
            </w:tcBorders>
            <w:tcMar>
              <w:top w:w="0" w:type="dxa"/>
              <w:left w:w="100" w:type="dxa"/>
              <w:bottom w:w="0" w:type="dxa"/>
              <w:right w:w="100" w:type="dxa"/>
            </w:tcMar>
          </w:tcPr>
          <w:p w14:paraId="0275FF9C" w14:textId="77777777" w:rsidR="00A60453" w:rsidRPr="00FF100A" w:rsidRDefault="008D4FBC" w:rsidP="00FF100A">
            <w:pPr>
              <w:spacing w:before="240" w:after="240" w:line="240" w:lineRule="auto"/>
              <w:jc w:val="both"/>
              <w:rPr>
                <w:b/>
                <w:sz w:val="24"/>
                <w:szCs w:val="24"/>
              </w:rPr>
            </w:pPr>
            <w:r w:rsidRPr="00FF100A">
              <w:rPr>
                <w:b/>
                <w:sz w:val="24"/>
                <w:szCs w:val="24"/>
              </w:rPr>
              <w:t>Final</w:t>
            </w:r>
          </w:p>
        </w:tc>
        <w:tc>
          <w:tcPr>
            <w:tcW w:w="2220" w:type="dxa"/>
            <w:tcBorders>
              <w:top w:val="nil"/>
              <w:left w:val="nil"/>
              <w:bottom w:val="single" w:sz="7" w:space="0" w:color="000000"/>
              <w:right w:val="nil"/>
            </w:tcBorders>
            <w:tcMar>
              <w:top w:w="0" w:type="dxa"/>
              <w:left w:w="100" w:type="dxa"/>
              <w:bottom w:w="0" w:type="dxa"/>
              <w:right w:w="100" w:type="dxa"/>
            </w:tcMar>
          </w:tcPr>
          <w:p w14:paraId="03DBBB93" w14:textId="77777777" w:rsidR="00A60453" w:rsidRPr="00FF100A" w:rsidRDefault="008D4FBC" w:rsidP="00FF100A">
            <w:pPr>
              <w:spacing w:before="240" w:after="240" w:line="240" w:lineRule="auto"/>
              <w:jc w:val="both"/>
              <w:rPr>
                <w:sz w:val="24"/>
                <w:szCs w:val="24"/>
              </w:rPr>
            </w:pPr>
            <w:r w:rsidRPr="00FF100A">
              <w:rPr>
                <w:sz w:val="24"/>
                <w:szCs w:val="24"/>
              </w:rPr>
              <w:t>222,6 ± 15,7#€</w:t>
            </w:r>
          </w:p>
        </w:tc>
        <w:tc>
          <w:tcPr>
            <w:tcW w:w="2220" w:type="dxa"/>
            <w:tcBorders>
              <w:top w:val="nil"/>
              <w:left w:val="nil"/>
              <w:bottom w:val="single" w:sz="7" w:space="0" w:color="000000"/>
              <w:right w:val="nil"/>
            </w:tcBorders>
            <w:tcMar>
              <w:top w:w="0" w:type="dxa"/>
              <w:left w:w="100" w:type="dxa"/>
              <w:bottom w:w="0" w:type="dxa"/>
              <w:right w:w="100" w:type="dxa"/>
            </w:tcMar>
          </w:tcPr>
          <w:p w14:paraId="1FB796DA" w14:textId="77777777" w:rsidR="00A60453" w:rsidRPr="00FF100A" w:rsidRDefault="008D4FBC" w:rsidP="00FF100A">
            <w:pPr>
              <w:spacing w:before="240" w:after="240" w:line="240" w:lineRule="auto"/>
              <w:jc w:val="both"/>
              <w:rPr>
                <w:sz w:val="24"/>
                <w:szCs w:val="24"/>
              </w:rPr>
            </w:pPr>
            <w:r w:rsidRPr="00FF100A">
              <w:rPr>
                <w:sz w:val="24"/>
                <w:szCs w:val="24"/>
              </w:rPr>
              <w:t>235,0 ± 7,4#€</w:t>
            </w:r>
          </w:p>
        </w:tc>
        <w:tc>
          <w:tcPr>
            <w:tcW w:w="2220" w:type="dxa"/>
            <w:tcBorders>
              <w:top w:val="nil"/>
              <w:left w:val="nil"/>
              <w:bottom w:val="single" w:sz="7" w:space="0" w:color="000000"/>
              <w:right w:val="nil"/>
            </w:tcBorders>
            <w:tcMar>
              <w:top w:w="0" w:type="dxa"/>
              <w:left w:w="100" w:type="dxa"/>
              <w:bottom w:w="0" w:type="dxa"/>
              <w:right w:w="100" w:type="dxa"/>
            </w:tcMar>
          </w:tcPr>
          <w:p w14:paraId="6122E640" w14:textId="77777777" w:rsidR="00A60453" w:rsidRPr="00FF100A" w:rsidRDefault="008D4FBC" w:rsidP="00FF100A">
            <w:pPr>
              <w:spacing w:before="240" w:after="240" w:line="240" w:lineRule="auto"/>
              <w:jc w:val="both"/>
              <w:rPr>
                <w:sz w:val="24"/>
                <w:szCs w:val="24"/>
              </w:rPr>
            </w:pPr>
            <w:r w:rsidRPr="00FF100A">
              <w:rPr>
                <w:sz w:val="24"/>
                <w:szCs w:val="24"/>
              </w:rPr>
              <w:t>240,0 ± 11,0#€</w:t>
            </w:r>
          </w:p>
        </w:tc>
      </w:tr>
      <w:tr w:rsidR="00A60453" w:rsidRPr="00FF100A" w14:paraId="4D8EB80F" w14:textId="77777777">
        <w:trPr>
          <w:trHeight w:val="1620"/>
        </w:trPr>
        <w:tc>
          <w:tcPr>
            <w:tcW w:w="8880" w:type="dxa"/>
            <w:gridSpan w:val="4"/>
            <w:tcBorders>
              <w:top w:val="nil"/>
              <w:left w:val="nil"/>
              <w:bottom w:val="nil"/>
              <w:right w:val="nil"/>
            </w:tcBorders>
            <w:tcMar>
              <w:top w:w="0" w:type="dxa"/>
              <w:left w:w="100" w:type="dxa"/>
              <w:bottom w:w="0" w:type="dxa"/>
              <w:right w:w="100" w:type="dxa"/>
            </w:tcMar>
          </w:tcPr>
          <w:p w14:paraId="6CDF4CB5" w14:textId="77777777" w:rsidR="00A60453" w:rsidRPr="00FF100A" w:rsidRDefault="008D4FBC" w:rsidP="003D5B10">
            <w:pPr>
              <w:spacing w:after="240" w:line="240" w:lineRule="auto"/>
              <w:jc w:val="both"/>
              <w:rPr>
                <w:sz w:val="24"/>
                <w:szCs w:val="24"/>
              </w:rPr>
            </w:pPr>
            <w:r w:rsidRPr="003D5B10">
              <w:t xml:space="preserve">Descrição. ANOVA de Medidas Repetidas, com Post-hoc </w:t>
            </w:r>
            <w:proofErr w:type="spellStart"/>
            <w:r w:rsidRPr="003D5B10">
              <w:t>Tukey</w:t>
            </w:r>
            <w:proofErr w:type="spellEnd"/>
            <w:r w:rsidRPr="003D5B10">
              <w:t>. Valores representam média ± desvio padrão da média. GC: Grupo Controle, GAC: Grupo Autismo Canabidiol, GAT: Grupo Autismo Treinado, g: gramas, *: p&lt;0,05 vs. GC, #: p&lt;0,05 comparado ao inicial no mesmo grupo, €: p&lt;0,05 comparado ao intermediário no mesmo grupo.</w:t>
            </w:r>
          </w:p>
        </w:tc>
      </w:tr>
    </w:tbl>
    <w:p w14:paraId="7737FE79" w14:textId="77777777" w:rsidR="00A60453" w:rsidRPr="00FF100A" w:rsidRDefault="008D4FBC" w:rsidP="00FF100A">
      <w:pPr>
        <w:spacing w:before="240" w:after="240" w:line="360" w:lineRule="auto"/>
        <w:jc w:val="both"/>
        <w:rPr>
          <w:sz w:val="24"/>
          <w:szCs w:val="24"/>
        </w:rPr>
      </w:pPr>
      <w:r w:rsidRPr="00FF100A">
        <w:rPr>
          <w:sz w:val="24"/>
          <w:szCs w:val="24"/>
        </w:rPr>
        <w:t xml:space="preserve">A relação entre o TEA e o desenvolvimento de sobrepeso e obesidade na infância já está amplamente estabelecida na literatura (DE VINCK-BAROODY et al., 2015; EGAN et al., 2013; HILL; ZUCKERMAN; FOMBONNE, 2015). Uma revisão narrativa sobre os potenciais fatores associados ao ganho de peso não saudável em crianças autistas </w:t>
      </w:r>
      <w:r w:rsidRPr="00FF100A">
        <w:rPr>
          <w:sz w:val="24"/>
          <w:szCs w:val="24"/>
        </w:rPr>
        <w:lastRenderedPageBreak/>
        <w:t xml:space="preserve">descreve que esse grupo apresenta um risco aumentado de obesidade em comparação a crianças </w:t>
      </w:r>
      <w:proofErr w:type="spellStart"/>
      <w:r w:rsidRPr="00FF100A">
        <w:rPr>
          <w:sz w:val="24"/>
          <w:szCs w:val="24"/>
        </w:rPr>
        <w:t>neurotípicas</w:t>
      </w:r>
      <w:proofErr w:type="spellEnd"/>
      <w:r w:rsidRPr="00FF100A">
        <w:rPr>
          <w:sz w:val="24"/>
          <w:szCs w:val="24"/>
        </w:rPr>
        <w:t>, atribuindo esse fenômeno a comportamentos alimentares atípicos e restritivos, influências endócrinas e ao uso de medicamentos psicotrópicos (DHALIWAL et al., 2019). Os resultados do presente estudo corroboram esses achados, mostrando que os grupos de animais autistas (GAC e GAT) apresentavam maior peso em relação ao grupo controle (GC) já no início do protocolo, antes de qualquer intervenção.</w:t>
      </w:r>
    </w:p>
    <w:p w14:paraId="3A2A5ECB" w14:textId="77777777" w:rsidR="00A60453" w:rsidRPr="00FF100A" w:rsidRDefault="008D4FBC" w:rsidP="00FF100A">
      <w:pPr>
        <w:spacing w:before="240" w:after="240" w:line="360" w:lineRule="auto"/>
        <w:jc w:val="both"/>
        <w:rPr>
          <w:sz w:val="24"/>
          <w:szCs w:val="24"/>
        </w:rPr>
      </w:pPr>
      <w:r w:rsidRPr="00FF100A">
        <w:rPr>
          <w:sz w:val="24"/>
          <w:szCs w:val="24"/>
        </w:rPr>
        <w:t>Os resultados de velocidade máxima e tempo de corrida estão apresentados na Tabela 2. Os grupos (GC: 1,3±0,2; GAC: 1,2±0,2; GAT: 1,4±0,2 km/h) não apresentaram diferenças em relação aos seus valores no início do protocolo. Na 4ª semana, o GAT (2,0±0,2 km/h) apresentou aumento da velocidade de corrida em relação ao GAC (1,7±0,2 km/h). E todos os grupos (GC: 1,8±0,0; GAC: 1,7±0,2; GAT: 2,0±0,2 km/h) apresentaram aumento da velocidade de corrida em relação aos seus valores no início do protocolo. No final do protocolo, o GAT (2,8±0,3 km/h) apresentou maior velocidade máxima de corrida em relação aos outros grupos (GC: 1,7±0,2; GAC: 1,9±0,2 km/h) e aos seus valores na 4ª semana. Apenas o GAC e o GAT apresentaram aumento da velocidade máxima de corrida em relação aos seus valores no início do protocolo.</w:t>
      </w:r>
    </w:p>
    <w:p w14:paraId="06836EE3" w14:textId="77777777" w:rsidR="00A60453" w:rsidRPr="00FF100A" w:rsidRDefault="008D4FBC" w:rsidP="00FF100A">
      <w:pPr>
        <w:spacing w:before="240" w:after="240" w:line="240" w:lineRule="auto"/>
        <w:jc w:val="both"/>
        <w:rPr>
          <w:sz w:val="24"/>
          <w:szCs w:val="24"/>
        </w:rPr>
      </w:pPr>
      <w:r w:rsidRPr="00FF100A">
        <w:rPr>
          <w:sz w:val="24"/>
          <w:szCs w:val="24"/>
        </w:rPr>
        <w:t>Tabela 2 – Capacidade física.</w:t>
      </w:r>
    </w:p>
    <w:tbl>
      <w:tblPr>
        <w:tblStyle w:val="a0"/>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330"/>
        <w:gridCol w:w="1845"/>
        <w:gridCol w:w="1845"/>
        <w:gridCol w:w="1845"/>
      </w:tblGrid>
      <w:tr w:rsidR="00A60453" w:rsidRPr="00FF100A" w14:paraId="688B4E86" w14:textId="77777777">
        <w:trPr>
          <w:trHeight w:val="780"/>
        </w:trPr>
        <w:tc>
          <w:tcPr>
            <w:tcW w:w="3330" w:type="dxa"/>
            <w:tcBorders>
              <w:top w:val="single" w:sz="7" w:space="0" w:color="000000"/>
              <w:left w:val="nil"/>
              <w:bottom w:val="single" w:sz="7" w:space="0" w:color="000000"/>
              <w:right w:val="nil"/>
            </w:tcBorders>
            <w:shd w:val="clear" w:color="auto" w:fill="auto"/>
            <w:tcMar>
              <w:top w:w="0" w:type="dxa"/>
              <w:left w:w="100" w:type="dxa"/>
              <w:bottom w:w="0" w:type="dxa"/>
              <w:right w:w="100" w:type="dxa"/>
            </w:tcMar>
          </w:tcPr>
          <w:p w14:paraId="7B41A578" w14:textId="77777777" w:rsidR="00A60453" w:rsidRPr="00FF100A" w:rsidRDefault="008D4FBC" w:rsidP="00FF100A">
            <w:pPr>
              <w:spacing w:before="240" w:after="240" w:line="240" w:lineRule="auto"/>
              <w:jc w:val="both"/>
              <w:rPr>
                <w:b/>
                <w:sz w:val="24"/>
                <w:szCs w:val="24"/>
              </w:rPr>
            </w:pPr>
            <w:r w:rsidRPr="00FF100A">
              <w:rPr>
                <w:b/>
                <w:sz w:val="24"/>
                <w:szCs w:val="24"/>
              </w:rPr>
              <w:t>Variáveis</w:t>
            </w:r>
          </w:p>
        </w:tc>
        <w:tc>
          <w:tcPr>
            <w:tcW w:w="5535" w:type="dxa"/>
            <w:gridSpan w:val="3"/>
            <w:tcBorders>
              <w:top w:val="single" w:sz="7" w:space="0" w:color="000000"/>
              <w:left w:val="nil"/>
              <w:bottom w:val="single" w:sz="7" w:space="0" w:color="000000"/>
              <w:right w:val="nil"/>
            </w:tcBorders>
            <w:shd w:val="clear" w:color="auto" w:fill="auto"/>
            <w:tcMar>
              <w:top w:w="0" w:type="dxa"/>
              <w:left w:w="100" w:type="dxa"/>
              <w:bottom w:w="0" w:type="dxa"/>
              <w:right w:w="100" w:type="dxa"/>
            </w:tcMar>
          </w:tcPr>
          <w:p w14:paraId="2075F6D7" w14:textId="77777777" w:rsidR="00A60453" w:rsidRPr="00FF100A" w:rsidRDefault="008D4FBC" w:rsidP="00FF100A">
            <w:pPr>
              <w:spacing w:before="240" w:after="240" w:line="240" w:lineRule="auto"/>
              <w:jc w:val="both"/>
              <w:rPr>
                <w:b/>
                <w:sz w:val="24"/>
                <w:szCs w:val="24"/>
              </w:rPr>
            </w:pPr>
            <w:r w:rsidRPr="00FF100A">
              <w:rPr>
                <w:b/>
                <w:sz w:val="24"/>
                <w:szCs w:val="24"/>
              </w:rPr>
              <w:t>Grupos</w:t>
            </w:r>
          </w:p>
        </w:tc>
      </w:tr>
      <w:tr w:rsidR="00A60453" w:rsidRPr="00FF100A" w14:paraId="73017F82" w14:textId="77777777">
        <w:trPr>
          <w:trHeight w:val="765"/>
        </w:trPr>
        <w:tc>
          <w:tcPr>
            <w:tcW w:w="3330" w:type="dxa"/>
            <w:tcBorders>
              <w:top w:val="nil"/>
              <w:left w:val="nil"/>
              <w:bottom w:val="nil"/>
              <w:right w:val="nil"/>
            </w:tcBorders>
            <w:shd w:val="clear" w:color="auto" w:fill="auto"/>
            <w:tcMar>
              <w:top w:w="0" w:type="dxa"/>
              <w:left w:w="100" w:type="dxa"/>
              <w:bottom w:w="0" w:type="dxa"/>
              <w:right w:w="100" w:type="dxa"/>
            </w:tcMar>
          </w:tcPr>
          <w:p w14:paraId="43506244" w14:textId="77777777" w:rsidR="00A60453" w:rsidRPr="00FF100A" w:rsidRDefault="008D4FBC" w:rsidP="00FF100A">
            <w:pPr>
              <w:spacing w:before="240" w:after="240" w:line="240" w:lineRule="auto"/>
              <w:jc w:val="both"/>
              <w:rPr>
                <w:b/>
                <w:sz w:val="24"/>
                <w:szCs w:val="24"/>
              </w:rPr>
            </w:pPr>
            <w:r w:rsidRPr="00FF100A">
              <w:rPr>
                <w:b/>
                <w:sz w:val="24"/>
                <w:szCs w:val="24"/>
              </w:rPr>
              <w:t>Velocidade máxima (km/h)</w:t>
            </w:r>
          </w:p>
        </w:tc>
        <w:tc>
          <w:tcPr>
            <w:tcW w:w="1845" w:type="dxa"/>
            <w:tcBorders>
              <w:top w:val="nil"/>
              <w:left w:val="nil"/>
              <w:bottom w:val="nil"/>
              <w:right w:val="nil"/>
            </w:tcBorders>
            <w:shd w:val="clear" w:color="auto" w:fill="auto"/>
            <w:tcMar>
              <w:top w:w="0" w:type="dxa"/>
              <w:left w:w="100" w:type="dxa"/>
              <w:bottom w:w="0" w:type="dxa"/>
              <w:right w:w="100" w:type="dxa"/>
            </w:tcMar>
          </w:tcPr>
          <w:p w14:paraId="7DD6A0A4" w14:textId="77777777" w:rsidR="00A60453" w:rsidRPr="00FF100A" w:rsidRDefault="008D4FBC" w:rsidP="00FF100A">
            <w:pPr>
              <w:spacing w:before="240" w:after="240" w:line="240" w:lineRule="auto"/>
              <w:jc w:val="both"/>
              <w:rPr>
                <w:b/>
                <w:sz w:val="24"/>
                <w:szCs w:val="24"/>
              </w:rPr>
            </w:pPr>
            <w:r w:rsidRPr="00FF100A">
              <w:rPr>
                <w:b/>
                <w:sz w:val="24"/>
                <w:szCs w:val="24"/>
              </w:rPr>
              <w:t>GC</w:t>
            </w:r>
          </w:p>
        </w:tc>
        <w:tc>
          <w:tcPr>
            <w:tcW w:w="1845" w:type="dxa"/>
            <w:tcBorders>
              <w:top w:val="nil"/>
              <w:left w:val="nil"/>
              <w:bottom w:val="nil"/>
              <w:right w:val="nil"/>
            </w:tcBorders>
            <w:shd w:val="clear" w:color="auto" w:fill="auto"/>
            <w:tcMar>
              <w:top w:w="0" w:type="dxa"/>
              <w:left w:w="100" w:type="dxa"/>
              <w:bottom w:w="0" w:type="dxa"/>
              <w:right w:w="100" w:type="dxa"/>
            </w:tcMar>
          </w:tcPr>
          <w:p w14:paraId="2DDDC0E5" w14:textId="77777777" w:rsidR="00A60453" w:rsidRPr="00FF100A" w:rsidRDefault="008D4FBC" w:rsidP="00FF100A">
            <w:pPr>
              <w:spacing w:before="240" w:after="240" w:line="240" w:lineRule="auto"/>
              <w:jc w:val="both"/>
              <w:rPr>
                <w:b/>
                <w:sz w:val="24"/>
                <w:szCs w:val="24"/>
              </w:rPr>
            </w:pPr>
            <w:r w:rsidRPr="00FF100A">
              <w:rPr>
                <w:b/>
                <w:sz w:val="24"/>
                <w:szCs w:val="24"/>
              </w:rPr>
              <w:t>GAC</w:t>
            </w:r>
          </w:p>
        </w:tc>
        <w:tc>
          <w:tcPr>
            <w:tcW w:w="1845" w:type="dxa"/>
            <w:tcBorders>
              <w:top w:val="nil"/>
              <w:left w:val="nil"/>
              <w:bottom w:val="nil"/>
              <w:right w:val="nil"/>
            </w:tcBorders>
            <w:shd w:val="clear" w:color="auto" w:fill="auto"/>
            <w:tcMar>
              <w:top w:w="0" w:type="dxa"/>
              <w:left w:w="100" w:type="dxa"/>
              <w:bottom w:w="0" w:type="dxa"/>
              <w:right w:w="100" w:type="dxa"/>
            </w:tcMar>
          </w:tcPr>
          <w:p w14:paraId="2F3DDAD9" w14:textId="77777777" w:rsidR="00A60453" w:rsidRPr="00FF100A" w:rsidRDefault="008D4FBC" w:rsidP="00FF100A">
            <w:pPr>
              <w:spacing w:before="240" w:after="240" w:line="240" w:lineRule="auto"/>
              <w:jc w:val="both"/>
              <w:rPr>
                <w:b/>
                <w:sz w:val="24"/>
                <w:szCs w:val="24"/>
              </w:rPr>
            </w:pPr>
            <w:r w:rsidRPr="00FF100A">
              <w:rPr>
                <w:b/>
                <w:sz w:val="24"/>
                <w:szCs w:val="24"/>
              </w:rPr>
              <w:t>GAT</w:t>
            </w:r>
          </w:p>
        </w:tc>
      </w:tr>
      <w:tr w:rsidR="00A60453" w:rsidRPr="00FF100A" w14:paraId="3CC7AADE" w14:textId="77777777">
        <w:trPr>
          <w:trHeight w:val="765"/>
        </w:trPr>
        <w:tc>
          <w:tcPr>
            <w:tcW w:w="3330" w:type="dxa"/>
            <w:tcBorders>
              <w:top w:val="nil"/>
              <w:left w:val="nil"/>
              <w:bottom w:val="nil"/>
              <w:right w:val="nil"/>
            </w:tcBorders>
            <w:shd w:val="clear" w:color="auto" w:fill="auto"/>
            <w:tcMar>
              <w:top w:w="0" w:type="dxa"/>
              <w:left w:w="100" w:type="dxa"/>
              <w:bottom w:w="0" w:type="dxa"/>
              <w:right w:w="100" w:type="dxa"/>
            </w:tcMar>
          </w:tcPr>
          <w:p w14:paraId="1B85A5C6" w14:textId="77777777" w:rsidR="00A60453" w:rsidRPr="00FF100A" w:rsidRDefault="008D4FBC" w:rsidP="00FF100A">
            <w:pPr>
              <w:spacing w:before="240" w:after="240" w:line="240" w:lineRule="auto"/>
              <w:jc w:val="both"/>
              <w:rPr>
                <w:sz w:val="24"/>
                <w:szCs w:val="24"/>
              </w:rPr>
            </w:pPr>
            <w:r w:rsidRPr="00FF100A">
              <w:rPr>
                <w:sz w:val="24"/>
                <w:szCs w:val="24"/>
              </w:rPr>
              <w:t>Inicial</w:t>
            </w:r>
          </w:p>
        </w:tc>
        <w:tc>
          <w:tcPr>
            <w:tcW w:w="1845" w:type="dxa"/>
            <w:tcBorders>
              <w:top w:val="nil"/>
              <w:left w:val="nil"/>
              <w:bottom w:val="nil"/>
              <w:right w:val="nil"/>
            </w:tcBorders>
            <w:shd w:val="clear" w:color="auto" w:fill="auto"/>
            <w:tcMar>
              <w:top w:w="0" w:type="dxa"/>
              <w:left w:w="100" w:type="dxa"/>
              <w:bottom w:w="0" w:type="dxa"/>
              <w:right w:w="100" w:type="dxa"/>
            </w:tcMar>
          </w:tcPr>
          <w:p w14:paraId="71356708" w14:textId="77777777" w:rsidR="00A60453" w:rsidRPr="00FF100A" w:rsidRDefault="008D4FBC" w:rsidP="00FF100A">
            <w:pPr>
              <w:spacing w:before="240" w:after="240" w:line="240" w:lineRule="auto"/>
              <w:jc w:val="both"/>
              <w:rPr>
                <w:sz w:val="24"/>
                <w:szCs w:val="24"/>
              </w:rPr>
            </w:pPr>
            <w:r w:rsidRPr="00FF100A">
              <w:rPr>
                <w:sz w:val="24"/>
                <w:szCs w:val="24"/>
              </w:rPr>
              <w:t>1,3 ± 0,2</w:t>
            </w:r>
          </w:p>
        </w:tc>
        <w:tc>
          <w:tcPr>
            <w:tcW w:w="1845" w:type="dxa"/>
            <w:tcBorders>
              <w:top w:val="nil"/>
              <w:left w:val="nil"/>
              <w:bottom w:val="nil"/>
              <w:right w:val="nil"/>
            </w:tcBorders>
            <w:shd w:val="clear" w:color="auto" w:fill="auto"/>
            <w:tcMar>
              <w:top w:w="0" w:type="dxa"/>
              <w:left w:w="100" w:type="dxa"/>
              <w:bottom w:w="0" w:type="dxa"/>
              <w:right w:w="100" w:type="dxa"/>
            </w:tcMar>
          </w:tcPr>
          <w:p w14:paraId="28BE9066" w14:textId="77777777" w:rsidR="00A60453" w:rsidRPr="00FF100A" w:rsidRDefault="008D4FBC" w:rsidP="00FF100A">
            <w:pPr>
              <w:spacing w:before="240" w:after="240" w:line="240" w:lineRule="auto"/>
              <w:jc w:val="both"/>
              <w:rPr>
                <w:sz w:val="24"/>
                <w:szCs w:val="24"/>
              </w:rPr>
            </w:pPr>
            <w:r w:rsidRPr="00FF100A">
              <w:rPr>
                <w:sz w:val="24"/>
                <w:szCs w:val="24"/>
              </w:rPr>
              <w:t>1,2 ± 0,2</w:t>
            </w:r>
          </w:p>
        </w:tc>
        <w:tc>
          <w:tcPr>
            <w:tcW w:w="1845" w:type="dxa"/>
            <w:tcBorders>
              <w:top w:val="nil"/>
              <w:left w:val="nil"/>
              <w:bottom w:val="nil"/>
              <w:right w:val="nil"/>
            </w:tcBorders>
            <w:shd w:val="clear" w:color="auto" w:fill="auto"/>
            <w:tcMar>
              <w:top w:w="0" w:type="dxa"/>
              <w:left w:w="100" w:type="dxa"/>
              <w:bottom w:w="0" w:type="dxa"/>
              <w:right w:w="100" w:type="dxa"/>
            </w:tcMar>
          </w:tcPr>
          <w:p w14:paraId="31B66183" w14:textId="77777777" w:rsidR="00A60453" w:rsidRPr="00FF100A" w:rsidRDefault="008D4FBC" w:rsidP="00FF100A">
            <w:pPr>
              <w:spacing w:before="240" w:after="240" w:line="240" w:lineRule="auto"/>
              <w:jc w:val="both"/>
              <w:rPr>
                <w:sz w:val="24"/>
                <w:szCs w:val="24"/>
              </w:rPr>
            </w:pPr>
            <w:r w:rsidRPr="00FF100A">
              <w:rPr>
                <w:sz w:val="24"/>
                <w:szCs w:val="24"/>
              </w:rPr>
              <w:t>1,4 ± 0,2</w:t>
            </w:r>
          </w:p>
        </w:tc>
      </w:tr>
      <w:tr w:rsidR="00A60453" w:rsidRPr="00FF100A" w14:paraId="66292CC6" w14:textId="77777777">
        <w:trPr>
          <w:trHeight w:val="765"/>
        </w:trPr>
        <w:tc>
          <w:tcPr>
            <w:tcW w:w="3330" w:type="dxa"/>
            <w:tcBorders>
              <w:top w:val="nil"/>
              <w:left w:val="nil"/>
              <w:bottom w:val="nil"/>
              <w:right w:val="nil"/>
            </w:tcBorders>
            <w:shd w:val="clear" w:color="auto" w:fill="auto"/>
            <w:tcMar>
              <w:top w:w="0" w:type="dxa"/>
              <w:left w:w="100" w:type="dxa"/>
              <w:bottom w:w="0" w:type="dxa"/>
              <w:right w:w="100" w:type="dxa"/>
            </w:tcMar>
          </w:tcPr>
          <w:p w14:paraId="52F2DD0A" w14:textId="77777777" w:rsidR="00A60453" w:rsidRPr="00FF100A" w:rsidRDefault="008D4FBC" w:rsidP="00FF100A">
            <w:pPr>
              <w:spacing w:before="240" w:after="240" w:line="240" w:lineRule="auto"/>
              <w:jc w:val="both"/>
              <w:rPr>
                <w:sz w:val="24"/>
                <w:szCs w:val="24"/>
              </w:rPr>
            </w:pPr>
            <w:r w:rsidRPr="00FF100A">
              <w:rPr>
                <w:sz w:val="24"/>
                <w:szCs w:val="24"/>
              </w:rPr>
              <w:t>Intermediária</w:t>
            </w:r>
          </w:p>
        </w:tc>
        <w:tc>
          <w:tcPr>
            <w:tcW w:w="1845" w:type="dxa"/>
            <w:tcBorders>
              <w:top w:val="nil"/>
              <w:left w:val="nil"/>
              <w:bottom w:val="nil"/>
              <w:right w:val="nil"/>
            </w:tcBorders>
            <w:shd w:val="clear" w:color="auto" w:fill="auto"/>
            <w:tcMar>
              <w:top w:w="0" w:type="dxa"/>
              <w:left w:w="100" w:type="dxa"/>
              <w:bottom w:w="0" w:type="dxa"/>
              <w:right w:w="100" w:type="dxa"/>
            </w:tcMar>
          </w:tcPr>
          <w:p w14:paraId="4A16B308" w14:textId="77777777" w:rsidR="00A60453" w:rsidRPr="00FF100A" w:rsidRDefault="008D4FBC" w:rsidP="00FF100A">
            <w:pPr>
              <w:spacing w:before="240" w:after="240" w:line="240" w:lineRule="auto"/>
              <w:jc w:val="both"/>
              <w:rPr>
                <w:sz w:val="24"/>
                <w:szCs w:val="24"/>
              </w:rPr>
            </w:pPr>
            <w:r w:rsidRPr="00FF100A">
              <w:rPr>
                <w:sz w:val="24"/>
                <w:szCs w:val="24"/>
              </w:rPr>
              <w:t>1,8 ± 0,0#</w:t>
            </w:r>
          </w:p>
        </w:tc>
        <w:tc>
          <w:tcPr>
            <w:tcW w:w="1845" w:type="dxa"/>
            <w:tcBorders>
              <w:top w:val="nil"/>
              <w:left w:val="nil"/>
              <w:bottom w:val="nil"/>
              <w:right w:val="nil"/>
            </w:tcBorders>
            <w:shd w:val="clear" w:color="auto" w:fill="auto"/>
            <w:tcMar>
              <w:top w:w="0" w:type="dxa"/>
              <w:left w:w="100" w:type="dxa"/>
              <w:bottom w:w="0" w:type="dxa"/>
              <w:right w:w="100" w:type="dxa"/>
            </w:tcMar>
          </w:tcPr>
          <w:p w14:paraId="63DF110C" w14:textId="77777777" w:rsidR="00A60453" w:rsidRPr="00FF100A" w:rsidRDefault="008D4FBC" w:rsidP="00FF100A">
            <w:pPr>
              <w:spacing w:before="240" w:after="240" w:line="240" w:lineRule="auto"/>
              <w:jc w:val="both"/>
              <w:rPr>
                <w:sz w:val="24"/>
                <w:szCs w:val="24"/>
              </w:rPr>
            </w:pPr>
            <w:r w:rsidRPr="00FF100A">
              <w:rPr>
                <w:sz w:val="24"/>
                <w:szCs w:val="24"/>
              </w:rPr>
              <w:t>1,7 ± 0,2#</w:t>
            </w:r>
          </w:p>
        </w:tc>
        <w:tc>
          <w:tcPr>
            <w:tcW w:w="1845" w:type="dxa"/>
            <w:tcBorders>
              <w:top w:val="nil"/>
              <w:left w:val="nil"/>
              <w:bottom w:val="nil"/>
              <w:right w:val="nil"/>
            </w:tcBorders>
            <w:shd w:val="clear" w:color="auto" w:fill="auto"/>
            <w:tcMar>
              <w:top w:w="0" w:type="dxa"/>
              <w:left w:w="100" w:type="dxa"/>
              <w:bottom w:w="0" w:type="dxa"/>
              <w:right w:w="100" w:type="dxa"/>
            </w:tcMar>
          </w:tcPr>
          <w:p w14:paraId="7F9DDCB6" w14:textId="77777777" w:rsidR="00A60453" w:rsidRPr="00FF100A" w:rsidRDefault="008D4FBC" w:rsidP="00FF100A">
            <w:pPr>
              <w:spacing w:before="240" w:after="240" w:line="240" w:lineRule="auto"/>
              <w:jc w:val="both"/>
              <w:rPr>
                <w:sz w:val="24"/>
                <w:szCs w:val="24"/>
              </w:rPr>
            </w:pPr>
            <w:r w:rsidRPr="00FF100A">
              <w:rPr>
                <w:sz w:val="24"/>
                <w:szCs w:val="24"/>
              </w:rPr>
              <w:t>2,0 ± 0,2†#</w:t>
            </w:r>
          </w:p>
        </w:tc>
      </w:tr>
      <w:tr w:rsidR="00A60453" w:rsidRPr="00FF100A" w14:paraId="51414336" w14:textId="77777777">
        <w:trPr>
          <w:trHeight w:val="765"/>
        </w:trPr>
        <w:tc>
          <w:tcPr>
            <w:tcW w:w="3330" w:type="dxa"/>
            <w:tcBorders>
              <w:top w:val="nil"/>
              <w:left w:val="nil"/>
              <w:bottom w:val="nil"/>
              <w:right w:val="nil"/>
            </w:tcBorders>
            <w:shd w:val="clear" w:color="auto" w:fill="auto"/>
            <w:tcMar>
              <w:top w:w="0" w:type="dxa"/>
              <w:left w:w="100" w:type="dxa"/>
              <w:bottom w:w="0" w:type="dxa"/>
              <w:right w:w="100" w:type="dxa"/>
            </w:tcMar>
          </w:tcPr>
          <w:p w14:paraId="54A78F1B" w14:textId="77777777" w:rsidR="00A60453" w:rsidRPr="00FF100A" w:rsidRDefault="008D4FBC" w:rsidP="00FF100A">
            <w:pPr>
              <w:spacing w:before="240" w:after="240" w:line="240" w:lineRule="auto"/>
              <w:jc w:val="both"/>
              <w:rPr>
                <w:sz w:val="24"/>
                <w:szCs w:val="24"/>
              </w:rPr>
            </w:pPr>
            <w:r w:rsidRPr="00FF100A">
              <w:rPr>
                <w:sz w:val="24"/>
                <w:szCs w:val="24"/>
              </w:rPr>
              <w:t>Final</w:t>
            </w:r>
          </w:p>
        </w:tc>
        <w:tc>
          <w:tcPr>
            <w:tcW w:w="1845" w:type="dxa"/>
            <w:tcBorders>
              <w:top w:val="nil"/>
              <w:left w:val="nil"/>
              <w:bottom w:val="nil"/>
              <w:right w:val="nil"/>
            </w:tcBorders>
            <w:shd w:val="clear" w:color="auto" w:fill="auto"/>
            <w:tcMar>
              <w:top w:w="0" w:type="dxa"/>
              <w:left w:w="100" w:type="dxa"/>
              <w:bottom w:w="0" w:type="dxa"/>
              <w:right w:w="100" w:type="dxa"/>
            </w:tcMar>
          </w:tcPr>
          <w:p w14:paraId="3B29DD38" w14:textId="77777777" w:rsidR="00A60453" w:rsidRPr="00FF100A" w:rsidRDefault="008D4FBC" w:rsidP="00FF100A">
            <w:pPr>
              <w:spacing w:before="240" w:after="240" w:line="240" w:lineRule="auto"/>
              <w:jc w:val="both"/>
              <w:rPr>
                <w:sz w:val="24"/>
                <w:szCs w:val="24"/>
              </w:rPr>
            </w:pPr>
            <w:r w:rsidRPr="00FF100A">
              <w:rPr>
                <w:sz w:val="24"/>
                <w:szCs w:val="24"/>
              </w:rPr>
              <w:t>1,7 ± 0,2</w:t>
            </w:r>
          </w:p>
        </w:tc>
        <w:tc>
          <w:tcPr>
            <w:tcW w:w="1845" w:type="dxa"/>
            <w:tcBorders>
              <w:top w:val="nil"/>
              <w:left w:val="nil"/>
              <w:bottom w:val="nil"/>
              <w:right w:val="nil"/>
            </w:tcBorders>
            <w:shd w:val="clear" w:color="auto" w:fill="auto"/>
            <w:tcMar>
              <w:top w:w="0" w:type="dxa"/>
              <w:left w:w="100" w:type="dxa"/>
              <w:bottom w:w="0" w:type="dxa"/>
              <w:right w:w="100" w:type="dxa"/>
            </w:tcMar>
          </w:tcPr>
          <w:p w14:paraId="50188216" w14:textId="77777777" w:rsidR="00A60453" w:rsidRPr="00FF100A" w:rsidRDefault="008D4FBC" w:rsidP="00FF100A">
            <w:pPr>
              <w:spacing w:before="240" w:after="240" w:line="240" w:lineRule="auto"/>
              <w:jc w:val="both"/>
              <w:rPr>
                <w:sz w:val="24"/>
                <w:szCs w:val="24"/>
              </w:rPr>
            </w:pPr>
            <w:r w:rsidRPr="00FF100A">
              <w:rPr>
                <w:sz w:val="24"/>
                <w:szCs w:val="24"/>
              </w:rPr>
              <w:t>1,9 ± 0,2#</w:t>
            </w:r>
          </w:p>
        </w:tc>
        <w:tc>
          <w:tcPr>
            <w:tcW w:w="1845" w:type="dxa"/>
            <w:tcBorders>
              <w:top w:val="nil"/>
              <w:left w:val="nil"/>
              <w:bottom w:val="nil"/>
              <w:right w:val="nil"/>
            </w:tcBorders>
            <w:shd w:val="clear" w:color="auto" w:fill="auto"/>
            <w:tcMar>
              <w:top w:w="0" w:type="dxa"/>
              <w:left w:w="100" w:type="dxa"/>
              <w:bottom w:w="0" w:type="dxa"/>
              <w:right w:w="100" w:type="dxa"/>
            </w:tcMar>
          </w:tcPr>
          <w:p w14:paraId="5743708A" w14:textId="77777777" w:rsidR="00A60453" w:rsidRPr="00FF100A" w:rsidRDefault="008D4FBC" w:rsidP="00FF100A">
            <w:pPr>
              <w:spacing w:before="240" w:after="240" w:line="240" w:lineRule="auto"/>
              <w:jc w:val="both"/>
              <w:rPr>
                <w:sz w:val="24"/>
                <w:szCs w:val="24"/>
              </w:rPr>
            </w:pPr>
            <w:r w:rsidRPr="00FF100A">
              <w:rPr>
                <w:sz w:val="24"/>
                <w:szCs w:val="24"/>
              </w:rPr>
              <w:t>2,8 ± 0,3*†#€</w:t>
            </w:r>
          </w:p>
        </w:tc>
      </w:tr>
      <w:tr w:rsidR="00A60453" w:rsidRPr="00FF100A" w14:paraId="2C00D67E" w14:textId="77777777">
        <w:trPr>
          <w:trHeight w:val="765"/>
        </w:trPr>
        <w:tc>
          <w:tcPr>
            <w:tcW w:w="3330" w:type="dxa"/>
            <w:tcBorders>
              <w:top w:val="nil"/>
              <w:left w:val="nil"/>
              <w:bottom w:val="nil"/>
              <w:right w:val="nil"/>
            </w:tcBorders>
            <w:shd w:val="clear" w:color="auto" w:fill="auto"/>
            <w:tcMar>
              <w:top w:w="0" w:type="dxa"/>
              <w:left w:w="100" w:type="dxa"/>
              <w:bottom w:w="0" w:type="dxa"/>
              <w:right w:w="100" w:type="dxa"/>
            </w:tcMar>
          </w:tcPr>
          <w:p w14:paraId="4FBC49BB" w14:textId="77777777" w:rsidR="00A60453" w:rsidRPr="00FF100A" w:rsidRDefault="008D4FBC" w:rsidP="00FF100A">
            <w:pPr>
              <w:spacing w:before="240" w:after="240" w:line="240" w:lineRule="auto"/>
              <w:jc w:val="both"/>
              <w:rPr>
                <w:b/>
                <w:sz w:val="24"/>
                <w:szCs w:val="24"/>
              </w:rPr>
            </w:pPr>
            <w:r w:rsidRPr="00FF100A">
              <w:rPr>
                <w:b/>
                <w:sz w:val="24"/>
                <w:szCs w:val="24"/>
              </w:rPr>
              <w:t>Tempo de corrida (min)</w:t>
            </w:r>
          </w:p>
        </w:tc>
        <w:tc>
          <w:tcPr>
            <w:tcW w:w="1845" w:type="dxa"/>
            <w:tcBorders>
              <w:top w:val="nil"/>
              <w:left w:val="nil"/>
              <w:bottom w:val="nil"/>
              <w:right w:val="nil"/>
            </w:tcBorders>
            <w:shd w:val="clear" w:color="auto" w:fill="auto"/>
            <w:tcMar>
              <w:top w:w="0" w:type="dxa"/>
              <w:left w:w="100" w:type="dxa"/>
              <w:bottom w:w="0" w:type="dxa"/>
              <w:right w:w="100" w:type="dxa"/>
            </w:tcMar>
          </w:tcPr>
          <w:p w14:paraId="05655FFB" w14:textId="77777777" w:rsidR="00A60453" w:rsidRPr="00FF100A" w:rsidRDefault="008D4FBC" w:rsidP="00FF100A">
            <w:pPr>
              <w:spacing w:before="240" w:after="240" w:line="240" w:lineRule="auto"/>
              <w:jc w:val="both"/>
              <w:rPr>
                <w:b/>
                <w:sz w:val="24"/>
                <w:szCs w:val="24"/>
              </w:rPr>
            </w:pPr>
            <w:r w:rsidRPr="00FF100A">
              <w:rPr>
                <w:b/>
                <w:sz w:val="24"/>
                <w:szCs w:val="24"/>
              </w:rPr>
              <w:t>GC</w:t>
            </w:r>
          </w:p>
        </w:tc>
        <w:tc>
          <w:tcPr>
            <w:tcW w:w="1845" w:type="dxa"/>
            <w:tcBorders>
              <w:top w:val="nil"/>
              <w:left w:val="nil"/>
              <w:bottom w:val="nil"/>
              <w:right w:val="nil"/>
            </w:tcBorders>
            <w:shd w:val="clear" w:color="auto" w:fill="auto"/>
            <w:tcMar>
              <w:top w:w="0" w:type="dxa"/>
              <w:left w:w="100" w:type="dxa"/>
              <w:bottom w:w="0" w:type="dxa"/>
              <w:right w:w="100" w:type="dxa"/>
            </w:tcMar>
          </w:tcPr>
          <w:p w14:paraId="1D1FD9E1" w14:textId="77777777" w:rsidR="00A60453" w:rsidRPr="00FF100A" w:rsidRDefault="008D4FBC" w:rsidP="00FF100A">
            <w:pPr>
              <w:spacing w:before="240" w:after="240" w:line="240" w:lineRule="auto"/>
              <w:jc w:val="both"/>
              <w:rPr>
                <w:b/>
                <w:sz w:val="24"/>
                <w:szCs w:val="24"/>
              </w:rPr>
            </w:pPr>
            <w:r w:rsidRPr="00FF100A">
              <w:rPr>
                <w:b/>
                <w:sz w:val="24"/>
                <w:szCs w:val="24"/>
              </w:rPr>
              <w:t>GAC</w:t>
            </w:r>
          </w:p>
        </w:tc>
        <w:tc>
          <w:tcPr>
            <w:tcW w:w="1845" w:type="dxa"/>
            <w:tcBorders>
              <w:top w:val="nil"/>
              <w:left w:val="nil"/>
              <w:bottom w:val="nil"/>
              <w:right w:val="nil"/>
            </w:tcBorders>
            <w:shd w:val="clear" w:color="auto" w:fill="auto"/>
            <w:tcMar>
              <w:top w:w="0" w:type="dxa"/>
              <w:left w:w="100" w:type="dxa"/>
              <w:bottom w:w="0" w:type="dxa"/>
              <w:right w:w="100" w:type="dxa"/>
            </w:tcMar>
          </w:tcPr>
          <w:p w14:paraId="69F66155" w14:textId="77777777" w:rsidR="00A60453" w:rsidRPr="00FF100A" w:rsidRDefault="008D4FBC" w:rsidP="00FF100A">
            <w:pPr>
              <w:spacing w:before="240" w:after="240" w:line="240" w:lineRule="auto"/>
              <w:jc w:val="both"/>
              <w:rPr>
                <w:b/>
                <w:sz w:val="24"/>
                <w:szCs w:val="24"/>
              </w:rPr>
            </w:pPr>
            <w:r w:rsidRPr="00FF100A">
              <w:rPr>
                <w:b/>
                <w:sz w:val="24"/>
                <w:szCs w:val="24"/>
              </w:rPr>
              <w:t>GAT</w:t>
            </w:r>
          </w:p>
        </w:tc>
      </w:tr>
      <w:tr w:rsidR="00A60453" w:rsidRPr="00FF100A" w14:paraId="4B75A1D5" w14:textId="77777777">
        <w:trPr>
          <w:trHeight w:val="765"/>
        </w:trPr>
        <w:tc>
          <w:tcPr>
            <w:tcW w:w="3330" w:type="dxa"/>
            <w:tcBorders>
              <w:top w:val="nil"/>
              <w:left w:val="nil"/>
              <w:bottom w:val="nil"/>
              <w:right w:val="nil"/>
            </w:tcBorders>
            <w:shd w:val="clear" w:color="auto" w:fill="auto"/>
            <w:tcMar>
              <w:top w:w="0" w:type="dxa"/>
              <w:left w:w="100" w:type="dxa"/>
              <w:bottom w:w="0" w:type="dxa"/>
              <w:right w:w="100" w:type="dxa"/>
            </w:tcMar>
          </w:tcPr>
          <w:p w14:paraId="373166BB" w14:textId="77777777" w:rsidR="00A60453" w:rsidRPr="00FF100A" w:rsidRDefault="008D4FBC" w:rsidP="00FF100A">
            <w:pPr>
              <w:spacing w:before="240" w:after="240" w:line="240" w:lineRule="auto"/>
              <w:jc w:val="both"/>
              <w:rPr>
                <w:sz w:val="24"/>
                <w:szCs w:val="24"/>
              </w:rPr>
            </w:pPr>
            <w:r w:rsidRPr="00FF100A">
              <w:rPr>
                <w:sz w:val="24"/>
                <w:szCs w:val="24"/>
              </w:rPr>
              <w:t>Inicial</w:t>
            </w:r>
          </w:p>
        </w:tc>
        <w:tc>
          <w:tcPr>
            <w:tcW w:w="1845" w:type="dxa"/>
            <w:tcBorders>
              <w:top w:val="nil"/>
              <w:left w:val="nil"/>
              <w:bottom w:val="nil"/>
              <w:right w:val="nil"/>
            </w:tcBorders>
            <w:shd w:val="clear" w:color="auto" w:fill="auto"/>
            <w:tcMar>
              <w:top w:w="0" w:type="dxa"/>
              <w:left w:w="100" w:type="dxa"/>
              <w:bottom w:w="0" w:type="dxa"/>
              <w:right w:w="100" w:type="dxa"/>
            </w:tcMar>
          </w:tcPr>
          <w:p w14:paraId="7D3EEE4B" w14:textId="77777777" w:rsidR="00A60453" w:rsidRPr="00FF100A" w:rsidRDefault="008D4FBC" w:rsidP="00FF100A">
            <w:pPr>
              <w:spacing w:before="240" w:after="240" w:line="240" w:lineRule="auto"/>
              <w:jc w:val="both"/>
              <w:rPr>
                <w:sz w:val="24"/>
                <w:szCs w:val="24"/>
              </w:rPr>
            </w:pPr>
            <w:r w:rsidRPr="00FF100A">
              <w:rPr>
                <w:sz w:val="24"/>
                <w:szCs w:val="24"/>
              </w:rPr>
              <w:t>11,7 ± 1,6</w:t>
            </w:r>
          </w:p>
        </w:tc>
        <w:tc>
          <w:tcPr>
            <w:tcW w:w="1845" w:type="dxa"/>
            <w:tcBorders>
              <w:top w:val="nil"/>
              <w:left w:val="nil"/>
              <w:bottom w:val="nil"/>
              <w:right w:val="nil"/>
            </w:tcBorders>
            <w:shd w:val="clear" w:color="auto" w:fill="auto"/>
            <w:tcMar>
              <w:top w:w="0" w:type="dxa"/>
              <w:left w:w="100" w:type="dxa"/>
              <w:bottom w:w="0" w:type="dxa"/>
              <w:right w:w="100" w:type="dxa"/>
            </w:tcMar>
          </w:tcPr>
          <w:p w14:paraId="7248B5B2" w14:textId="77777777" w:rsidR="00A60453" w:rsidRPr="00FF100A" w:rsidRDefault="008D4FBC" w:rsidP="00FF100A">
            <w:pPr>
              <w:spacing w:before="240" w:after="240" w:line="240" w:lineRule="auto"/>
              <w:jc w:val="both"/>
              <w:rPr>
                <w:sz w:val="24"/>
                <w:szCs w:val="24"/>
              </w:rPr>
            </w:pPr>
            <w:r w:rsidRPr="00FF100A">
              <w:rPr>
                <w:sz w:val="24"/>
                <w:szCs w:val="24"/>
              </w:rPr>
              <w:t>10,3 ± 1,8</w:t>
            </w:r>
          </w:p>
        </w:tc>
        <w:tc>
          <w:tcPr>
            <w:tcW w:w="1845" w:type="dxa"/>
            <w:tcBorders>
              <w:top w:val="nil"/>
              <w:left w:val="nil"/>
              <w:bottom w:val="nil"/>
              <w:right w:val="nil"/>
            </w:tcBorders>
            <w:shd w:val="clear" w:color="auto" w:fill="auto"/>
            <w:tcMar>
              <w:top w:w="0" w:type="dxa"/>
              <w:left w:w="100" w:type="dxa"/>
              <w:bottom w:w="0" w:type="dxa"/>
              <w:right w:w="100" w:type="dxa"/>
            </w:tcMar>
          </w:tcPr>
          <w:p w14:paraId="6A6F50A4" w14:textId="77777777" w:rsidR="00A60453" w:rsidRPr="00FF100A" w:rsidRDefault="008D4FBC" w:rsidP="00FF100A">
            <w:pPr>
              <w:spacing w:before="240" w:after="240" w:line="240" w:lineRule="auto"/>
              <w:jc w:val="both"/>
              <w:rPr>
                <w:sz w:val="24"/>
                <w:szCs w:val="24"/>
              </w:rPr>
            </w:pPr>
            <w:r w:rsidRPr="00FF100A">
              <w:rPr>
                <w:sz w:val="24"/>
                <w:szCs w:val="24"/>
              </w:rPr>
              <w:t>11,3 ± 1,5</w:t>
            </w:r>
          </w:p>
        </w:tc>
      </w:tr>
      <w:tr w:rsidR="00A60453" w:rsidRPr="00FF100A" w14:paraId="4B5F137C" w14:textId="77777777">
        <w:trPr>
          <w:trHeight w:val="765"/>
        </w:trPr>
        <w:tc>
          <w:tcPr>
            <w:tcW w:w="3330" w:type="dxa"/>
            <w:tcBorders>
              <w:top w:val="nil"/>
              <w:left w:val="nil"/>
              <w:bottom w:val="nil"/>
              <w:right w:val="nil"/>
            </w:tcBorders>
            <w:shd w:val="clear" w:color="auto" w:fill="auto"/>
            <w:tcMar>
              <w:top w:w="0" w:type="dxa"/>
              <w:left w:w="100" w:type="dxa"/>
              <w:bottom w:w="0" w:type="dxa"/>
              <w:right w:w="100" w:type="dxa"/>
            </w:tcMar>
          </w:tcPr>
          <w:p w14:paraId="7ACE44B0" w14:textId="77777777" w:rsidR="00A60453" w:rsidRPr="00FF100A" w:rsidRDefault="008D4FBC" w:rsidP="00FF100A">
            <w:pPr>
              <w:spacing w:before="240" w:after="240" w:line="240" w:lineRule="auto"/>
              <w:jc w:val="both"/>
              <w:rPr>
                <w:sz w:val="24"/>
                <w:szCs w:val="24"/>
              </w:rPr>
            </w:pPr>
            <w:r w:rsidRPr="00FF100A">
              <w:rPr>
                <w:sz w:val="24"/>
                <w:szCs w:val="24"/>
              </w:rPr>
              <w:lastRenderedPageBreak/>
              <w:t>Intermediário</w:t>
            </w:r>
          </w:p>
        </w:tc>
        <w:tc>
          <w:tcPr>
            <w:tcW w:w="1845" w:type="dxa"/>
            <w:tcBorders>
              <w:top w:val="nil"/>
              <w:left w:val="nil"/>
              <w:bottom w:val="nil"/>
              <w:right w:val="nil"/>
            </w:tcBorders>
            <w:shd w:val="clear" w:color="auto" w:fill="auto"/>
            <w:tcMar>
              <w:top w:w="0" w:type="dxa"/>
              <w:left w:w="100" w:type="dxa"/>
              <w:bottom w:w="0" w:type="dxa"/>
              <w:right w:w="100" w:type="dxa"/>
            </w:tcMar>
          </w:tcPr>
          <w:p w14:paraId="562E0BBF" w14:textId="77777777" w:rsidR="00A60453" w:rsidRPr="00FF100A" w:rsidRDefault="008D4FBC" w:rsidP="00FF100A">
            <w:pPr>
              <w:spacing w:before="240" w:after="240" w:line="240" w:lineRule="auto"/>
              <w:jc w:val="both"/>
              <w:rPr>
                <w:sz w:val="24"/>
                <w:szCs w:val="24"/>
              </w:rPr>
            </w:pPr>
            <w:r w:rsidRPr="00FF100A">
              <w:rPr>
                <w:sz w:val="24"/>
                <w:szCs w:val="24"/>
              </w:rPr>
              <w:t>16,3 ± 0,4#</w:t>
            </w:r>
          </w:p>
        </w:tc>
        <w:tc>
          <w:tcPr>
            <w:tcW w:w="1845" w:type="dxa"/>
            <w:tcBorders>
              <w:top w:val="nil"/>
              <w:left w:val="nil"/>
              <w:bottom w:val="nil"/>
              <w:right w:val="nil"/>
            </w:tcBorders>
            <w:shd w:val="clear" w:color="auto" w:fill="auto"/>
            <w:tcMar>
              <w:top w:w="0" w:type="dxa"/>
              <w:left w:w="100" w:type="dxa"/>
              <w:bottom w:w="0" w:type="dxa"/>
              <w:right w:w="100" w:type="dxa"/>
            </w:tcMar>
          </w:tcPr>
          <w:p w14:paraId="3F85894F" w14:textId="77777777" w:rsidR="00A60453" w:rsidRPr="00FF100A" w:rsidRDefault="008D4FBC" w:rsidP="00FF100A">
            <w:pPr>
              <w:spacing w:before="240" w:after="240" w:line="240" w:lineRule="auto"/>
              <w:jc w:val="both"/>
              <w:rPr>
                <w:sz w:val="24"/>
                <w:szCs w:val="24"/>
              </w:rPr>
            </w:pPr>
            <w:r w:rsidRPr="00FF100A">
              <w:rPr>
                <w:sz w:val="24"/>
                <w:szCs w:val="24"/>
              </w:rPr>
              <w:t>14,7 ± 1,3#</w:t>
            </w:r>
          </w:p>
        </w:tc>
        <w:tc>
          <w:tcPr>
            <w:tcW w:w="1845" w:type="dxa"/>
            <w:tcBorders>
              <w:top w:val="nil"/>
              <w:left w:val="nil"/>
              <w:bottom w:val="nil"/>
              <w:right w:val="nil"/>
            </w:tcBorders>
            <w:shd w:val="clear" w:color="auto" w:fill="auto"/>
            <w:tcMar>
              <w:top w:w="0" w:type="dxa"/>
              <w:left w:w="100" w:type="dxa"/>
              <w:bottom w:w="0" w:type="dxa"/>
              <w:right w:w="100" w:type="dxa"/>
            </w:tcMar>
          </w:tcPr>
          <w:p w14:paraId="00F17D43" w14:textId="77777777" w:rsidR="00A60453" w:rsidRPr="00FF100A" w:rsidRDefault="008D4FBC" w:rsidP="00FF100A">
            <w:pPr>
              <w:spacing w:before="240" w:after="240" w:line="240" w:lineRule="auto"/>
              <w:jc w:val="both"/>
              <w:rPr>
                <w:sz w:val="24"/>
                <w:szCs w:val="24"/>
              </w:rPr>
            </w:pPr>
            <w:r w:rsidRPr="00FF100A">
              <w:rPr>
                <w:sz w:val="24"/>
                <w:szCs w:val="24"/>
              </w:rPr>
              <w:t>18,5 ± 1,3*†#</w:t>
            </w:r>
          </w:p>
        </w:tc>
      </w:tr>
      <w:tr w:rsidR="00A60453" w:rsidRPr="00FF100A" w14:paraId="798EE1A7" w14:textId="77777777">
        <w:trPr>
          <w:trHeight w:val="765"/>
        </w:trPr>
        <w:tc>
          <w:tcPr>
            <w:tcW w:w="3330" w:type="dxa"/>
            <w:tcBorders>
              <w:top w:val="nil"/>
              <w:left w:val="nil"/>
              <w:bottom w:val="single" w:sz="7" w:space="0" w:color="000000"/>
              <w:right w:val="nil"/>
            </w:tcBorders>
            <w:shd w:val="clear" w:color="auto" w:fill="auto"/>
            <w:tcMar>
              <w:top w:w="0" w:type="dxa"/>
              <w:left w:w="100" w:type="dxa"/>
              <w:bottom w:w="0" w:type="dxa"/>
              <w:right w:w="100" w:type="dxa"/>
            </w:tcMar>
          </w:tcPr>
          <w:p w14:paraId="197B52F8" w14:textId="77777777" w:rsidR="00A60453" w:rsidRPr="00FF100A" w:rsidRDefault="008D4FBC" w:rsidP="00FF100A">
            <w:pPr>
              <w:spacing w:before="240" w:after="240" w:line="240" w:lineRule="auto"/>
              <w:jc w:val="both"/>
              <w:rPr>
                <w:sz w:val="24"/>
                <w:szCs w:val="24"/>
              </w:rPr>
            </w:pPr>
            <w:r w:rsidRPr="00FF100A">
              <w:rPr>
                <w:sz w:val="24"/>
                <w:szCs w:val="24"/>
              </w:rPr>
              <w:t>Final</w:t>
            </w:r>
          </w:p>
        </w:tc>
        <w:tc>
          <w:tcPr>
            <w:tcW w:w="1845" w:type="dxa"/>
            <w:tcBorders>
              <w:top w:val="nil"/>
              <w:left w:val="nil"/>
              <w:bottom w:val="single" w:sz="7" w:space="0" w:color="000000"/>
              <w:right w:val="nil"/>
            </w:tcBorders>
            <w:shd w:val="clear" w:color="auto" w:fill="auto"/>
            <w:tcMar>
              <w:top w:w="0" w:type="dxa"/>
              <w:left w:w="100" w:type="dxa"/>
              <w:bottom w:w="0" w:type="dxa"/>
              <w:right w:w="100" w:type="dxa"/>
            </w:tcMar>
          </w:tcPr>
          <w:p w14:paraId="2B2AA7A5" w14:textId="77777777" w:rsidR="00A60453" w:rsidRPr="00FF100A" w:rsidRDefault="008D4FBC" w:rsidP="00FF100A">
            <w:pPr>
              <w:spacing w:before="240" w:after="240" w:line="240" w:lineRule="auto"/>
              <w:jc w:val="both"/>
              <w:rPr>
                <w:sz w:val="24"/>
                <w:szCs w:val="24"/>
              </w:rPr>
            </w:pPr>
            <w:r w:rsidRPr="00FF100A">
              <w:rPr>
                <w:sz w:val="24"/>
                <w:szCs w:val="24"/>
              </w:rPr>
              <w:t>15,5 ± 0,7</w:t>
            </w:r>
          </w:p>
        </w:tc>
        <w:tc>
          <w:tcPr>
            <w:tcW w:w="1845" w:type="dxa"/>
            <w:tcBorders>
              <w:top w:val="nil"/>
              <w:left w:val="nil"/>
              <w:bottom w:val="single" w:sz="7" w:space="0" w:color="000000"/>
              <w:right w:val="nil"/>
            </w:tcBorders>
            <w:shd w:val="clear" w:color="auto" w:fill="auto"/>
            <w:tcMar>
              <w:top w:w="0" w:type="dxa"/>
              <w:left w:w="100" w:type="dxa"/>
              <w:bottom w:w="0" w:type="dxa"/>
              <w:right w:w="100" w:type="dxa"/>
            </w:tcMar>
          </w:tcPr>
          <w:p w14:paraId="1E6E3D95" w14:textId="77777777" w:rsidR="00A60453" w:rsidRPr="00FF100A" w:rsidRDefault="008D4FBC" w:rsidP="00FF100A">
            <w:pPr>
              <w:spacing w:before="240" w:after="240" w:line="240" w:lineRule="auto"/>
              <w:jc w:val="both"/>
              <w:rPr>
                <w:sz w:val="24"/>
                <w:szCs w:val="24"/>
              </w:rPr>
            </w:pPr>
            <w:r w:rsidRPr="00FF100A">
              <w:rPr>
                <w:sz w:val="24"/>
                <w:szCs w:val="24"/>
              </w:rPr>
              <w:t>16,9 ± 1,4#</w:t>
            </w:r>
          </w:p>
        </w:tc>
        <w:tc>
          <w:tcPr>
            <w:tcW w:w="1845" w:type="dxa"/>
            <w:tcBorders>
              <w:top w:val="nil"/>
              <w:left w:val="nil"/>
              <w:bottom w:val="single" w:sz="7" w:space="0" w:color="000000"/>
              <w:right w:val="nil"/>
            </w:tcBorders>
            <w:shd w:val="clear" w:color="auto" w:fill="auto"/>
            <w:tcMar>
              <w:top w:w="0" w:type="dxa"/>
              <w:left w:w="100" w:type="dxa"/>
              <w:bottom w:w="0" w:type="dxa"/>
              <w:right w:w="100" w:type="dxa"/>
            </w:tcMar>
          </w:tcPr>
          <w:p w14:paraId="063D5267" w14:textId="77777777" w:rsidR="00A60453" w:rsidRPr="00FF100A" w:rsidRDefault="008D4FBC" w:rsidP="00FF100A">
            <w:pPr>
              <w:spacing w:before="240" w:after="240" w:line="240" w:lineRule="auto"/>
              <w:jc w:val="both"/>
              <w:rPr>
                <w:sz w:val="24"/>
                <w:szCs w:val="24"/>
              </w:rPr>
            </w:pPr>
            <w:r w:rsidRPr="00FF100A">
              <w:rPr>
                <w:sz w:val="24"/>
                <w:szCs w:val="24"/>
              </w:rPr>
              <w:t>25,8 ± 2,7*†#€</w:t>
            </w:r>
          </w:p>
        </w:tc>
      </w:tr>
      <w:tr w:rsidR="00A60453" w:rsidRPr="00FF100A" w14:paraId="668A9213" w14:textId="77777777">
        <w:trPr>
          <w:trHeight w:val="1905"/>
        </w:trPr>
        <w:tc>
          <w:tcPr>
            <w:tcW w:w="8865" w:type="dxa"/>
            <w:gridSpan w:val="4"/>
            <w:tcBorders>
              <w:top w:val="nil"/>
              <w:left w:val="nil"/>
              <w:bottom w:val="nil"/>
              <w:right w:val="nil"/>
            </w:tcBorders>
            <w:shd w:val="clear" w:color="auto" w:fill="auto"/>
            <w:tcMar>
              <w:top w:w="0" w:type="dxa"/>
              <w:left w:w="100" w:type="dxa"/>
              <w:bottom w:w="0" w:type="dxa"/>
              <w:right w:w="100" w:type="dxa"/>
            </w:tcMar>
          </w:tcPr>
          <w:p w14:paraId="7973B242" w14:textId="77777777" w:rsidR="00A60453" w:rsidRPr="00FF100A" w:rsidRDefault="008D4FBC" w:rsidP="003D5B10">
            <w:pPr>
              <w:spacing w:after="240" w:line="240" w:lineRule="auto"/>
              <w:jc w:val="both"/>
              <w:rPr>
                <w:sz w:val="24"/>
                <w:szCs w:val="24"/>
              </w:rPr>
            </w:pPr>
            <w:r w:rsidRPr="003D5B10">
              <w:t xml:space="preserve">Descrição. ANOVA de Medidas Repetidas, com Post-hoc </w:t>
            </w:r>
            <w:proofErr w:type="spellStart"/>
            <w:r w:rsidRPr="003D5B10">
              <w:t>Tukey</w:t>
            </w:r>
            <w:proofErr w:type="spellEnd"/>
            <w:r w:rsidRPr="003D5B10">
              <w:t>. Valores representam média ± desvio padrão da média. GC: Grupo Controle, GAC: Grupo Autismo Canabidiol, GAT: Grupo Autismo Treinado, km/h: quilômetro por hora, min: minutos, *: p&lt;0,05 vs. GC, †: p&lt;0,05 vs. GAC, #: p&lt;0,05 comparado ao inicial no mesmo grupo, €: p&lt;0,05 comparado ao intermediário no mesmo grupo.</w:t>
            </w:r>
          </w:p>
        </w:tc>
      </w:tr>
    </w:tbl>
    <w:p w14:paraId="6D12C5BB" w14:textId="77777777" w:rsidR="00A60453" w:rsidRPr="00FF100A" w:rsidRDefault="008D4FBC" w:rsidP="00FF100A">
      <w:pPr>
        <w:spacing w:before="240" w:after="240" w:line="360" w:lineRule="auto"/>
        <w:jc w:val="both"/>
        <w:rPr>
          <w:sz w:val="24"/>
          <w:szCs w:val="24"/>
        </w:rPr>
      </w:pPr>
      <w:r w:rsidRPr="00FF100A">
        <w:rPr>
          <w:sz w:val="24"/>
          <w:szCs w:val="24"/>
        </w:rPr>
        <w:t>É amplamente reconhecido na literatura acadêmica que pessoas com TEA, especialmente crianças, apresentam menor propensão à prática de exercícios vigorosos e sustentados, com níveis de atividade física geralmente baixos, o que pode ser atribuído a deficiências motoras e sociais. Contudo, a importância do treinamento físico, especialmente o TFA, no tratamento do TEA é indiscutível (SRINIVASAN; PESCATELLO; BHAT, 2014). O TFA, por sua vez, tem sido recomendado para indivíduos autistas devido aos seus benefícios comprovados na melhoria da capacidade cardiopulmonar, do humor, e dos parâmetros cognitivos e sociais (DE CAMARGO; AÑEZ, 2020). No presente estudo, os animais autistas submetidos ao treinamento (GAT) demonstraram um aumento progressivo tanto no tempo de corrida quanto na velocidade máxima atingida, evidenciando uma melhoria geral na capacidade física em comparação com os animais controle (GC) e os autistas tratados com CBD (GAC). Esses achados estão em consonância com estudos realizados em humanos, que indicam que o TFA prolongado em esteira melhora a capacidade física geral, a velocidade e a capacidade cardiopulmonar (PITETTI et al., 2007).</w:t>
      </w:r>
    </w:p>
    <w:p w14:paraId="07A6A716" w14:textId="37A4B075" w:rsidR="00A60453" w:rsidRPr="00FF100A" w:rsidRDefault="008D4FBC" w:rsidP="00FF100A">
      <w:pPr>
        <w:spacing w:before="240" w:after="240" w:line="360" w:lineRule="auto"/>
        <w:jc w:val="both"/>
        <w:rPr>
          <w:sz w:val="24"/>
          <w:szCs w:val="24"/>
        </w:rPr>
      </w:pPr>
      <w:r w:rsidRPr="00FF100A">
        <w:rPr>
          <w:b/>
          <w:sz w:val="24"/>
          <w:szCs w:val="24"/>
        </w:rPr>
        <w:t>Conclusões:</w:t>
      </w:r>
      <w:r w:rsidRPr="00FF100A">
        <w:rPr>
          <w:b/>
          <w:sz w:val="24"/>
          <w:szCs w:val="24"/>
        </w:rPr>
        <w:br/>
      </w:r>
      <w:r w:rsidRPr="00FF100A">
        <w:rPr>
          <w:sz w:val="24"/>
          <w:szCs w:val="24"/>
        </w:rPr>
        <w:t>Os resultados indicam que ambas as intervenções não influenciaram o peso corporal, porém o TFA promoveu melhorias significativas na capacidade física dos animais com autismo, com aumentos no tempo de corrida e na velocidade máxima. Em contrapartida, o tratamento com CBD não apresentou impacto nesses parâmetros preliminares. Esses achados destacam a relevância de investigar os efeitos do CBD e do TFA em modelos experimentais de autismo.</w:t>
      </w:r>
    </w:p>
    <w:p w14:paraId="75429FDF" w14:textId="5B85A206" w:rsidR="00A60453" w:rsidRPr="00FF100A" w:rsidRDefault="008D4FBC" w:rsidP="00FF100A">
      <w:pPr>
        <w:spacing w:before="240" w:after="240" w:line="360" w:lineRule="auto"/>
        <w:rPr>
          <w:b/>
          <w:sz w:val="24"/>
          <w:szCs w:val="24"/>
        </w:rPr>
      </w:pPr>
      <w:r w:rsidRPr="00FF100A">
        <w:rPr>
          <w:b/>
          <w:sz w:val="24"/>
          <w:szCs w:val="24"/>
        </w:rPr>
        <w:t>Referências:</w:t>
      </w:r>
      <w:r w:rsidRPr="00FF100A">
        <w:rPr>
          <w:b/>
          <w:sz w:val="24"/>
          <w:szCs w:val="24"/>
        </w:rPr>
        <w:br/>
      </w:r>
      <w:r w:rsidRPr="00FF100A">
        <w:rPr>
          <w:sz w:val="24"/>
          <w:szCs w:val="24"/>
        </w:rPr>
        <w:t xml:space="preserve">BARROS NETO, S. G. de; BRUNONI, D.; CYSNEIROS, R. M. Abordagem </w:t>
      </w:r>
      <w:r w:rsidRPr="00FF100A">
        <w:rPr>
          <w:sz w:val="24"/>
          <w:szCs w:val="24"/>
        </w:rPr>
        <w:lastRenderedPageBreak/>
        <w:t xml:space="preserve">psicofarmacológica no transtorno do espectro autista: uma revisão narrativa. </w:t>
      </w:r>
      <w:r w:rsidRPr="00FF100A">
        <w:rPr>
          <w:i/>
          <w:sz w:val="24"/>
          <w:szCs w:val="24"/>
        </w:rPr>
        <w:t>Cadernos de Pós-Graduação em Distúrbios do Desenvolvimento</w:t>
      </w:r>
      <w:r w:rsidRPr="00FF100A">
        <w:rPr>
          <w:sz w:val="24"/>
          <w:szCs w:val="24"/>
        </w:rPr>
        <w:t>, v. 19, n. 2, p. 38–60, 2019. Disponível em:</w:t>
      </w:r>
      <w:hyperlink r:id="rId4">
        <w:r w:rsidRPr="00FF100A">
          <w:rPr>
            <w:color w:val="1155CC"/>
            <w:sz w:val="24"/>
            <w:szCs w:val="24"/>
          </w:rPr>
          <w:t xml:space="preserve"> </w:t>
        </w:r>
      </w:hyperlink>
      <w:hyperlink r:id="rId5">
        <w:r w:rsidRPr="00FF100A">
          <w:rPr>
            <w:color w:val="1155CC"/>
            <w:sz w:val="24"/>
            <w:szCs w:val="24"/>
            <w:u w:val="single"/>
          </w:rPr>
          <w:t>https://doi.org/10.5935/CADERNOSDISTURBIOS.V19N2P38-60</w:t>
        </w:r>
      </w:hyperlink>
      <w:r w:rsidRPr="00FF100A">
        <w:rPr>
          <w:sz w:val="24"/>
          <w:szCs w:val="24"/>
        </w:rPr>
        <w:t>. Acesso em: 13 mar. 2023.</w:t>
      </w:r>
    </w:p>
    <w:p w14:paraId="17FC3616" w14:textId="77777777" w:rsidR="00A60453" w:rsidRPr="00FF100A" w:rsidRDefault="008D4FBC" w:rsidP="00FF100A">
      <w:pPr>
        <w:spacing w:before="240" w:after="240" w:line="360" w:lineRule="auto"/>
        <w:jc w:val="both"/>
        <w:rPr>
          <w:sz w:val="24"/>
          <w:szCs w:val="24"/>
          <w:lang w:val="en-CA"/>
        </w:rPr>
      </w:pPr>
      <w:r w:rsidRPr="00FF100A">
        <w:rPr>
          <w:sz w:val="24"/>
          <w:szCs w:val="24"/>
          <w:lang w:val="en-CA"/>
        </w:rPr>
        <w:t xml:space="preserve">BLESSING, E. M.; STEENKAMP, M. M.; MANZANARES, J.; MARMAR, C. R. Cannabidiol as a Potential Treatment for Anxiety Disorders. </w:t>
      </w:r>
      <w:proofErr w:type="spellStart"/>
      <w:r w:rsidRPr="00FF100A">
        <w:rPr>
          <w:i/>
          <w:sz w:val="24"/>
          <w:szCs w:val="24"/>
        </w:rPr>
        <w:t>Neurotherapeutics</w:t>
      </w:r>
      <w:proofErr w:type="spellEnd"/>
      <w:r w:rsidRPr="00FF100A">
        <w:rPr>
          <w:sz w:val="24"/>
          <w:szCs w:val="24"/>
        </w:rPr>
        <w:t>, v. 12, n. 4, p. 825, 2015. Disponível em:</w:t>
      </w:r>
      <w:hyperlink r:id="rId6">
        <w:r w:rsidRPr="00FF100A">
          <w:rPr>
            <w:color w:val="1155CC"/>
            <w:sz w:val="24"/>
            <w:szCs w:val="24"/>
          </w:rPr>
          <w:t xml:space="preserve"> </w:t>
        </w:r>
      </w:hyperlink>
      <w:hyperlink r:id="rId7">
        <w:r w:rsidRPr="00FF100A">
          <w:rPr>
            <w:color w:val="1155CC"/>
            <w:sz w:val="24"/>
            <w:szCs w:val="24"/>
            <w:u w:val="single"/>
          </w:rPr>
          <w:t>https://doi.org/10.1007/S13311-015-0387-1</w:t>
        </w:r>
      </w:hyperlink>
      <w:r w:rsidRPr="00FF100A">
        <w:rPr>
          <w:sz w:val="24"/>
          <w:szCs w:val="24"/>
        </w:rPr>
        <w:t xml:space="preserve">. </w:t>
      </w:r>
      <w:proofErr w:type="spellStart"/>
      <w:r w:rsidRPr="00FF100A">
        <w:rPr>
          <w:sz w:val="24"/>
          <w:szCs w:val="24"/>
          <w:lang w:val="en-CA"/>
        </w:rPr>
        <w:t>Acesso</w:t>
      </w:r>
      <w:proofErr w:type="spellEnd"/>
      <w:r w:rsidRPr="00FF100A">
        <w:rPr>
          <w:sz w:val="24"/>
          <w:szCs w:val="24"/>
          <w:lang w:val="en-CA"/>
        </w:rPr>
        <w:t xml:space="preserve"> </w:t>
      </w:r>
      <w:proofErr w:type="spellStart"/>
      <w:r w:rsidRPr="00FF100A">
        <w:rPr>
          <w:sz w:val="24"/>
          <w:szCs w:val="24"/>
          <w:lang w:val="en-CA"/>
        </w:rPr>
        <w:t>em</w:t>
      </w:r>
      <w:proofErr w:type="spellEnd"/>
      <w:r w:rsidRPr="00FF100A">
        <w:rPr>
          <w:sz w:val="24"/>
          <w:szCs w:val="24"/>
          <w:lang w:val="en-CA"/>
        </w:rPr>
        <w:t>: 5 abr. 2023.</w:t>
      </w:r>
    </w:p>
    <w:p w14:paraId="41B39813" w14:textId="77777777" w:rsidR="00A60453" w:rsidRPr="00FF100A" w:rsidRDefault="008D4FBC" w:rsidP="00FF100A">
      <w:pPr>
        <w:spacing w:before="240" w:after="240" w:line="360" w:lineRule="auto"/>
        <w:jc w:val="both"/>
        <w:rPr>
          <w:sz w:val="24"/>
          <w:szCs w:val="24"/>
          <w:lang w:val="en-CA"/>
        </w:rPr>
      </w:pPr>
      <w:r w:rsidRPr="00FF100A">
        <w:rPr>
          <w:sz w:val="24"/>
          <w:szCs w:val="24"/>
          <w:lang w:val="en-CA"/>
        </w:rPr>
        <w:t xml:space="preserve">CAMPOS, A. C.; MOREIRA, F. A.; GOMES, F. V.; DEL BEL, E. A.; GUIMARÃES, F. S. Multiple mechanisms involved in the large-spectrum therapeutic potential of cannabidiol in psychiatric disorders. </w:t>
      </w:r>
      <w:r w:rsidRPr="00FF100A">
        <w:rPr>
          <w:i/>
          <w:sz w:val="24"/>
          <w:szCs w:val="24"/>
          <w:lang w:val="en-CA"/>
        </w:rPr>
        <w:t>Philosophical Transactions of the Royal Society B: Biological Sciences</w:t>
      </w:r>
      <w:r w:rsidRPr="00FF100A">
        <w:rPr>
          <w:sz w:val="24"/>
          <w:szCs w:val="24"/>
          <w:lang w:val="en-CA"/>
        </w:rPr>
        <w:t xml:space="preserve">, v. 367, n. 1607, p. 3364, 2012. </w:t>
      </w:r>
      <w:proofErr w:type="spellStart"/>
      <w:r w:rsidRPr="00FF100A">
        <w:rPr>
          <w:sz w:val="24"/>
          <w:szCs w:val="24"/>
          <w:lang w:val="en-CA"/>
        </w:rPr>
        <w:t>Disponível</w:t>
      </w:r>
      <w:proofErr w:type="spellEnd"/>
      <w:r w:rsidRPr="00FF100A">
        <w:rPr>
          <w:sz w:val="24"/>
          <w:szCs w:val="24"/>
          <w:lang w:val="en-CA"/>
        </w:rPr>
        <w:t xml:space="preserve"> </w:t>
      </w:r>
      <w:proofErr w:type="spellStart"/>
      <w:r w:rsidRPr="00FF100A">
        <w:rPr>
          <w:sz w:val="24"/>
          <w:szCs w:val="24"/>
          <w:lang w:val="en-CA"/>
        </w:rPr>
        <w:t>em</w:t>
      </w:r>
      <w:proofErr w:type="spellEnd"/>
      <w:r w:rsidRPr="00FF100A">
        <w:rPr>
          <w:sz w:val="24"/>
          <w:szCs w:val="24"/>
          <w:lang w:val="en-CA"/>
        </w:rPr>
        <w:t>:</w:t>
      </w:r>
      <w:r>
        <w:fldChar w:fldCharType="begin"/>
      </w:r>
      <w:r w:rsidRPr="00EA016E">
        <w:rPr>
          <w:lang w:val="en-CA"/>
        </w:rPr>
        <w:instrText>HYPERLINK "https://doi.org/10.1098/RSTB.2011.0389" \h</w:instrText>
      </w:r>
      <w:r>
        <w:fldChar w:fldCharType="separate"/>
      </w:r>
      <w:r w:rsidRPr="00FF100A">
        <w:rPr>
          <w:color w:val="1155CC"/>
          <w:sz w:val="24"/>
          <w:szCs w:val="24"/>
          <w:lang w:val="en-CA"/>
        </w:rPr>
        <w:t xml:space="preserve"> </w:t>
      </w:r>
      <w:r>
        <w:rPr>
          <w:color w:val="1155CC"/>
          <w:sz w:val="24"/>
          <w:szCs w:val="24"/>
          <w:lang w:val="en-CA"/>
        </w:rPr>
        <w:fldChar w:fldCharType="end"/>
      </w:r>
      <w:r>
        <w:fldChar w:fldCharType="begin"/>
      </w:r>
      <w:r w:rsidRPr="00EA016E">
        <w:rPr>
          <w:lang w:val="en-CA"/>
        </w:rPr>
        <w:instrText>HYPERLINK "https://doi.org/10.1098/RSTB.2011.0389" \h</w:instrText>
      </w:r>
      <w:r>
        <w:fldChar w:fldCharType="separate"/>
      </w:r>
      <w:r w:rsidRPr="00FF100A">
        <w:rPr>
          <w:color w:val="1155CC"/>
          <w:sz w:val="24"/>
          <w:szCs w:val="24"/>
          <w:u w:val="single"/>
          <w:lang w:val="en-CA"/>
        </w:rPr>
        <w:t>https://doi.org/10.1098/RSTB.2011.0389</w:t>
      </w:r>
      <w:r>
        <w:rPr>
          <w:color w:val="1155CC"/>
          <w:sz w:val="24"/>
          <w:szCs w:val="24"/>
          <w:u w:val="single"/>
          <w:lang w:val="en-CA"/>
        </w:rPr>
        <w:fldChar w:fldCharType="end"/>
      </w:r>
      <w:r w:rsidRPr="00FF100A">
        <w:rPr>
          <w:sz w:val="24"/>
          <w:szCs w:val="24"/>
          <w:lang w:val="en-CA"/>
        </w:rPr>
        <w:t xml:space="preserve">. </w:t>
      </w:r>
      <w:proofErr w:type="spellStart"/>
      <w:r w:rsidRPr="00FF100A">
        <w:rPr>
          <w:sz w:val="24"/>
          <w:szCs w:val="24"/>
          <w:lang w:val="en-CA"/>
        </w:rPr>
        <w:t>Acesso</w:t>
      </w:r>
      <w:proofErr w:type="spellEnd"/>
      <w:r w:rsidRPr="00FF100A">
        <w:rPr>
          <w:sz w:val="24"/>
          <w:szCs w:val="24"/>
          <w:lang w:val="en-CA"/>
        </w:rPr>
        <w:t xml:space="preserve"> </w:t>
      </w:r>
      <w:proofErr w:type="spellStart"/>
      <w:r w:rsidRPr="00FF100A">
        <w:rPr>
          <w:sz w:val="24"/>
          <w:szCs w:val="24"/>
          <w:lang w:val="en-CA"/>
        </w:rPr>
        <w:t>em</w:t>
      </w:r>
      <w:proofErr w:type="spellEnd"/>
      <w:r w:rsidRPr="00FF100A">
        <w:rPr>
          <w:sz w:val="24"/>
          <w:szCs w:val="24"/>
          <w:lang w:val="en-CA"/>
        </w:rPr>
        <w:t>: 5 abr. 2023.</w:t>
      </w:r>
    </w:p>
    <w:p w14:paraId="21DDDF94" w14:textId="77777777" w:rsidR="00A60453" w:rsidRPr="00FF100A" w:rsidRDefault="008D4FBC" w:rsidP="00FF100A">
      <w:pPr>
        <w:spacing w:before="240" w:after="240" w:line="360" w:lineRule="auto"/>
        <w:jc w:val="both"/>
        <w:rPr>
          <w:sz w:val="24"/>
          <w:szCs w:val="24"/>
        </w:rPr>
      </w:pPr>
      <w:r w:rsidRPr="00FF100A">
        <w:rPr>
          <w:sz w:val="24"/>
          <w:szCs w:val="24"/>
          <w:lang w:val="en-CA"/>
        </w:rPr>
        <w:t xml:space="preserve">GENOVESE, A.; BUTLER, M. G. Clinical Assessment, Genetics, and Treatment Approaches in Autism Spectrum Disorder (ASD). </w:t>
      </w:r>
      <w:proofErr w:type="spellStart"/>
      <w:r w:rsidRPr="00FF100A">
        <w:rPr>
          <w:i/>
          <w:sz w:val="24"/>
          <w:szCs w:val="24"/>
        </w:rPr>
        <w:t>International</w:t>
      </w:r>
      <w:proofErr w:type="spellEnd"/>
      <w:r w:rsidRPr="00FF100A">
        <w:rPr>
          <w:i/>
          <w:sz w:val="24"/>
          <w:szCs w:val="24"/>
        </w:rPr>
        <w:t xml:space="preserve"> Journal of Molecular </w:t>
      </w:r>
      <w:proofErr w:type="spellStart"/>
      <w:r w:rsidRPr="00FF100A">
        <w:rPr>
          <w:i/>
          <w:sz w:val="24"/>
          <w:szCs w:val="24"/>
        </w:rPr>
        <w:t>Sciences</w:t>
      </w:r>
      <w:proofErr w:type="spellEnd"/>
      <w:r w:rsidRPr="00FF100A">
        <w:rPr>
          <w:sz w:val="24"/>
          <w:szCs w:val="24"/>
        </w:rPr>
        <w:t>, v. 21, n. 13, p. 1–18, 2020. Disponível em:</w:t>
      </w:r>
      <w:hyperlink r:id="rId8">
        <w:r w:rsidRPr="00FF100A">
          <w:rPr>
            <w:color w:val="1155CC"/>
            <w:sz w:val="24"/>
            <w:szCs w:val="24"/>
          </w:rPr>
          <w:t xml:space="preserve"> </w:t>
        </w:r>
      </w:hyperlink>
      <w:hyperlink r:id="rId9">
        <w:r w:rsidRPr="00FF100A">
          <w:rPr>
            <w:color w:val="1155CC"/>
            <w:sz w:val="24"/>
            <w:szCs w:val="24"/>
            <w:u w:val="single"/>
          </w:rPr>
          <w:t>https://doi.org/10.3390/IJMS21134726</w:t>
        </w:r>
      </w:hyperlink>
      <w:r w:rsidRPr="00FF100A">
        <w:rPr>
          <w:sz w:val="24"/>
          <w:szCs w:val="24"/>
        </w:rPr>
        <w:t>. Acesso em: 8 mar. 2023.</w:t>
      </w:r>
    </w:p>
    <w:p w14:paraId="57D6FFF7" w14:textId="77777777" w:rsidR="00A60453" w:rsidRPr="00FF100A" w:rsidRDefault="008D4FBC" w:rsidP="00FF100A">
      <w:pPr>
        <w:spacing w:before="240" w:after="240" w:line="360" w:lineRule="auto"/>
        <w:jc w:val="both"/>
        <w:rPr>
          <w:sz w:val="24"/>
          <w:szCs w:val="24"/>
        </w:rPr>
      </w:pPr>
      <w:r w:rsidRPr="00FF100A">
        <w:rPr>
          <w:sz w:val="24"/>
          <w:szCs w:val="24"/>
          <w:lang w:val="en-CA"/>
        </w:rPr>
        <w:t xml:space="preserve">JIA, Y.; YAO, Y.; ZHUO, L.; CHEN, X.; YAN, C.; JI, Y.; TAO, J.; ZHU, Y. Aerobic Physical Exercise as a Non-medical Intervention for Brain Dysfunction: State of the Art and Beyond. </w:t>
      </w:r>
      <w:r w:rsidRPr="00FF100A">
        <w:rPr>
          <w:i/>
          <w:sz w:val="24"/>
          <w:szCs w:val="24"/>
          <w:lang w:val="en-CA"/>
        </w:rPr>
        <w:t>Frontiers in Neurology</w:t>
      </w:r>
      <w:r w:rsidRPr="00FF100A">
        <w:rPr>
          <w:sz w:val="24"/>
          <w:szCs w:val="24"/>
          <w:lang w:val="en-CA"/>
        </w:rPr>
        <w:t xml:space="preserve">, v. 13, p. 862078, 2022. </w:t>
      </w:r>
      <w:proofErr w:type="spellStart"/>
      <w:r w:rsidRPr="00FF100A">
        <w:rPr>
          <w:sz w:val="24"/>
          <w:szCs w:val="24"/>
          <w:lang w:val="en-CA"/>
        </w:rPr>
        <w:t>Disponível</w:t>
      </w:r>
      <w:proofErr w:type="spellEnd"/>
      <w:r w:rsidRPr="00FF100A">
        <w:rPr>
          <w:sz w:val="24"/>
          <w:szCs w:val="24"/>
          <w:lang w:val="en-CA"/>
        </w:rPr>
        <w:t xml:space="preserve"> </w:t>
      </w:r>
      <w:proofErr w:type="spellStart"/>
      <w:r w:rsidRPr="00FF100A">
        <w:rPr>
          <w:sz w:val="24"/>
          <w:szCs w:val="24"/>
          <w:lang w:val="en-CA"/>
        </w:rPr>
        <w:t>em</w:t>
      </w:r>
      <w:proofErr w:type="spellEnd"/>
      <w:r w:rsidRPr="00FF100A">
        <w:rPr>
          <w:sz w:val="24"/>
          <w:szCs w:val="24"/>
          <w:lang w:val="en-CA"/>
        </w:rPr>
        <w:t>:</w:t>
      </w:r>
      <w:r>
        <w:fldChar w:fldCharType="begin"/>
      </w:r>
      <w:r w:rsidRPr="00EA016E">
        <w:rPr>
          <w:lang w:val="en-CA"/>
        </w:rPr>
        <w:instrText>HYPERLINK "https://doi.org/10.3389/FNEUR.2022.862078/BIBTEX" \h</w:instrText>
      </w:r>
      <w:r>
        <w:fldChar w:fldCharType="separate"/>
      </w:r>
      <w:r w:rsidRPr="00FF100A">
        <w:rPr>
          <w:color w:val="1155CC"/>
          <w:sz w:val="24"/>
          <w:szCs w:val="24"/>
          <w:lang w:val="en-CA"/>
        </w:rPr>
        <w:t xml:space="preserve"> </w:t>
      </w:r>
      <w:r>
        <w:rPr>
          <w:color w:val="1155CC"/>
          <w:sz w:val="24"/>
          <w:szCs w:val="24"/>
          <w:lang w:val="en-CA"/>
        </w:rPr>
        <w:fldChar w:fldCharType="end"/>
      </w:r>
      <w:r>
        <w:fldChar w:fldCharType="begin"/>
      </w:r>
      <w:r w:rsidRPr="00EA016E">
        <w:rPr>
          <w:lang w:val="en-CA"/>
        </w:rPr>
        <w:instrText>HYPERLINK "https://doi.org/10.3389/FNEUR.2022.862078/BIBTEX" \h</w:instrText>
      </w:r>
      <w:r>
        <w:fldChar w:fldCharType="separate"/>
      </w:r>
      <w:r w:rsidRPr="00FF100A">
        <w:rPr>
          <w:color w:val="1155CC"/>
          <w:sz w:val="24"/>
          <w:szCs w:val="24"/>
          <w:u w:val="single"/>
          <w:lang w:val="en-CA"/>
        </w:rPr>
        <w:t>https://doi.org/10.3389/FNEUR.2022.862078/BIBTEX</w:t>
      </w:r>
      <w:r>
        <w:rPr>
          <w:color w:val="1155CC"/>
          <w:sz w:val="24"/>
          <w:szCs w:val="24"/>
          <w:u w:val="single"/>
          <w:lang w:val="en-CA"/>
        </w:rPr>
        <w:fldChar w:fldCharType="end"/>
      </w:r>
      <w:r w:rsidRPr="00FF100A">
        <w:rPr>
          <w:sz w:val="24"/>
          <w:szCs w:val="24"/>
          <w:lang w:val="en-CA"/>
        </w:rPr>
        <w:t xml:space="preserve">. </w:t>
      </w:r>
      <w:r w:rsidRPr="00FF100A">
        <w:rPr>
          <w:sz w:val="24"/>
          <w:szCs w:val="24"/>
        </w:rPr>
        <w:t>Acesso em: 25 nov. 2023.</w:t>
      </w:r>
    </w:p>
    <w:p w14:paraId="6E268058" w14:textId="77777777" w:rsidR="00A60453" w:rsidRPr="00FF100A" w:rsidRDefault="008D4FBC" w:rsidP="00FF100A">
      <w:pPr>
        <w:spacing w:before="240" w:after="240" w:line="360" w:lineRule="auto"/>
        <w:jc w:val="both"/>
        <w:rPr>
          <w:sz w:val="24"/>
          <w:szCs w:val="24"/>
        </w:rPr>
      </w:pPr>
      <w:r w:rsidRPr="00FF100A">
        <w:rPr>
          <w:sz w:val="24"/>
          <w:szCs w:val="24"/>
        </w:rPr>
        <w:t xml:space="preserve">KERCHE-SILVA, L. E.; CAMPAROTO, M. L.; RODRIGUES, F. V. As alterações genéticas e a neurofisiologia do autismo. </w:t>
      </w:r>
      <w:proofErr w:type="spellStart"/>
      <w:r w:rsidRPr="00FF100A">
        <w:rPr>
          <w:i/>
          <w:sz w:val="24"/>
          <w:szCs w:val="24"/>
        </w:rPr>
        <w:t>SaBios</w:t>
      </w:r>
      <w:proofErr w:type="spellEnd"/>
      <w:r w:rsidRPr="00FF100A">
        <w:rPr>
          <w:i/>
          <w:sz w:val="24"/>
          <w:szCs w:val="24"/>
        </w:rPr>
        <w:t>-Revista de Saúde e Biologia</w:t>
      </w:r>
      <w:r w:rsidRPr="00FF100A">
        <w:rPr>
          <w:sz w:val="24"/>
          <w:szCs w:val="24"/>
        </w:rPr>
        <w:t>, v. 15, n. 1, p. 40–56, 2020. Disponível em:</w:t>
      </w:r>
      <w:hyperlink r:id="rId10">
        <w:r w:rsidRPr="00FF100A">
          <w:rPr>
            <w:color w:val="1155CC"/>
            <w:sz w:val="24"/>
            <w:szCs w:val="24"/>
          </w:rPr>
          <w:t xml:space="preserve"> </w:t>
        </w:r>
      </w:hyperlink>
      <w:hyperlink r:id="rId11">
        <w:r w:rsidRPr="00FF100A">
          <w:rPr>
            <w:color w:val="1155CC"/>
            <w:sz w:val="24"/>
            <w:szCs w:val="24"/>
            <w:u w:val="single"/>
          </w:rPr>
          <w:t>https://revista2.grupointegrado.br/revista/index.php/sabios/article/view/2932</w:t>
        </w:r>
      </w:hyperlink>
      <w:r w:rsidRPr="00FF100A">
        <w:rPr>
          <w:sz w:val="24"/>
          <w:szCs w:val="24"/>
        </w:rPr>
        <w:t>. Acesso em: 8 mar. 2023.</w:t>
      </w:r>
    </w:p>
    <w:p w14:paraId="56169319" w14:textId="77777777" w:rsidR="00A60453" w:rsidRPr="00FF100A" w:rsidRDefault="008D4FBC" w:rsidP="00FF100A">
      <w:pPr>
        <w:spacing w:before="240" w:after="240" w:line="360" w:lineRule="auto"/>
        <w:jc w:val="both"/>
        <w:rPr>
          <w:sz w:val="24"/>
          <w:szCs w:val="24"/>
          <w:lang w:val="en-CA"/>
        </w:rPr>
      </w:pPr>
      <w:r w:rsidRPr="00EA016E">
        <w:rPr>
          <w:sz w:val="24"/>
          <w:szCs w:val="24"/>
          <w:lang w:val="en-CA"/>
        </w:rPr>
        <w:t xml:space="preserve">MAROTTA, R.; RISOLEO, M. C.; MESSINA, G.; PARISI, L.; CAROTENUTO, M.; VETRI, L.; ROCCELLA, M. The Neurochemistry of Autism. </w:t>
      </w:r>
      <w:proofErr w:type="spellStart"/>
      <w:r w:rsidRPr="00FF100A">
        <w:rPr>
          <w:i/>
          <w:sz w:val="24"/>
          <w:szCs w:val="24"/>
        </w:rPr>
        <w:t>Brain</w:t>
      </w:r>
      <w:proofErr w:type="spellEnd"/>
      <w:r w:rsidRPr="00FF100A">
        <w:rPr>
          <w:i/>
          <w:sz w:val="24"/>
          <w:szCs w:val="24"/>
        </w:rPr>
        <w:t xml:space="preserve"> </w:t>
      </w:r>
      <w:proofErr w:type="spellStart"/>
      <w:r w:rsidRPr="00FF100A">
        <w:rPr>
          <w:i/>
          <w:sz w:val="24"/>
          <w:szCs w:val="24"/>
        </w:rPr>
        <w:t>Sciences</w:t>
      </w:r>
      <w:proofErr w:type="spellEnd"/>
      <w:r w:rsidRPr="00FF100A">
        <w:rPr>
          <w:sz w:val="24"/>
          <w:szCs w:val="24"/>
        </w:rPr>
        <w:t xml:space="preserve">, v. 10, n. 3, </w:t>
      </w:r>
      <w:r w:rsidRPr="00FF100A">
        <w:rPr>
          <w:sz w:val="24"/>
          <w:szCs w:val="24"/>
        </w:rPr>
        <w:lastRenderedPageBreak/>
        <w:t>2020. Disponível em:</w:t>
      </w:r>
      <w:hyperlink r:id="rId12">
        <w:r w:rsidRPr="00FF100A">
          <w:rPr>
            <w:color w:val="1155CC"/>
            <w:sz w:val="24"/>
            <w:szCs w:val="24"/>
          </w:rPr>
          <w:t xml:space="preserve"> </w:t>
        </w:r>
      </w:hyperlink>
      <w:hyperlink r:id="rId13">
        <w:r w:rsidRPr="00FF100A">
          <w:rPr>
            <w:color w:val="1155CC"/>
            <w:sz w:val="24"/>
            <w:szCs w:val="24"/>
            <w:u w:val="single"/>
          </w:rPr>
          <w:t>https://doi.org/10.3390/BRAINSCI10030163</w:t>
        </w:r>
      </w:hyperlink>
      <w:r w:rsidRPr="00FF100A">
        <w:rPr>
          <w:sz w:val="24"/>
          <w:szCs w:val="24"/>
        </w:rPr>
        <w:t xml:space="preserve">. </w:t>
      </w:r>
      <w:proofErr w:type="spellStart"/>
      <w:r w:rsidRPr="00FF100A">
        <w:rPr>
          <w:sz w:val="24"/>
          <w:szCs w:val="24"/>
          <w:lang w:val="en-CA"/>
        </w:rPr>
        <w:t>Acesso</w:t>
      </w:r>
      <w:proofErr w:type="spellEnd"/>
      <w:r w:rsidRPr="00FF100A">
        <w:rPr>
          <w:sz w:val="24"/>
          <w:szCs w:val="24"/>
          <w:lang w:val="en-CA"/>
        </w:rPr>
        <w:t xml:space="preserve"> </w:t>
      </w:r>
      <w:proofErr w:type="spellStart"/>
      <w:r w:rsidRPr="00FF100A">
        <w:rPr>
          <w:sz w:val="24"/>
          <w:szCs w:val="24"/>
          <w:lang w:val="en-CA"/>
        </w:rPr>
        <w:t>em</w:t>
      </w:r>
      <w:proofErr w:type="spellEnd"/>
      <w:r w:rsidRPr="00FF100A">
        <w:rPr>
          <w:sz w:val="24"/>
          <w:szCs w:val="24"/>
          <w:lang w:val="en-CA"/>
        </w:rPr>
        <w:t xml:space="preserve">: 8 </w:t>
      </w:r>
      <w:proofErr w:type="gramStart"/>
      <w:r w:rsidRPr="00FF100A">
        <w:rPr>
          <w:sz w:val="24"/>
          <w:szCs w:val="24"/>
          <w:lang w:val="en-CA"/>
        </w:rPr>
        <w:t>mar</w:t>
      </w:r>
      <w:proofErr w:type="gramEnd"/>
      <w:r w:rsidRPr="00FF100A">
        <w:rPr>
          <w:sz w:val="24"/>
          <w:szCs w:val="24"/>
          <w:lang w:val="en-CA"/>
        </w:rPr>
        <w:t>. 2023.</w:t>
      </w:r>
    </w:p>
    <w:p w14:paraId="3B160BE9" w14:textId="77777777" w:rsidR="00A60453" w:rsidRPr="00FF100A" w:rsidRDefault="008D4FBC" w:rsidP="00FF100A">
      <w:pPr>
        <w:spacing w:before="240" w:after="240" w:line="360" w:lineRule="auto"/>
        <w:jc w:val="both"/>
        <w:rPr>
          <w:sz w:val="24"/>
          <w:szCs w:val="24"/>
        </w:rPr>
      </w:pPr>
      <w:r w:rsidRPr="00FF100A">
        <w:rPr>
          <w:sz w:val="24"/>
          <w:szCs w:val="24"/>
          <w:lang w:val="en-CA"/>
        </w:rPr>
        <w:t xml:space="preserve">SALARI, N.; RASOULPOOR, S.; RASOULPOOR, S.; SHOHAIMI, S.; JAFARPOUR, S.; ABDOLI, N.; KHALEDI-PAVEH, B.; MOHAMMADI, M. The global prevalence of autism spectrum disorder: a comprehensive systematic review and meta-analysis. </w:t>
      </w:r>
      <w:r w:rsidRPr="00FF100A">
        <w:rPr>
          <w:i/>
          <w:sz w:val="24"/>
          <w:szCs w:val="24"/>
        </w:rPr>
        <w:t xml:space="preserve">Italian Journal of </w:t>
      </w:r>
      <w:proofErr w:type="spellStart"/>
      <w:r w:rsidRPr="00FF100A">
        <w:rPr>
          <w:i/>
          <w:sz w:val="24"/>
          <w:szCs w:val="24"/>
        </w:rPr>
        <w:t>Pediatrics</w:t>
      </w:r>
      <w:proofErr w:type="spellEnd"/>
      <w:r w:rsidRPr="00FF100A">
        <w:rPr>
          <w:sz w:val="24"/>
          <w:szCs w:val="24"/>
        </w:rPr>
        <w:t>, v. 48, n. 1, p. 112, 2022. Disponível em:</w:t>
      </w:r>
      <w:hyperlink r:id="rId14">
        <w:r w:rsidRPr="00FF100A">
          <w:rPr>
            <w:color w:val="1155CC"/>
            <w:sz w:val="24"/>
            <w:szCs w:val="24"/>
          </w:rPr>
          <w:t xml:space="preserve"> </w:t>
        </w:r>
      </w:hyperlink>
      <w:hyperlink r:id="rId15">
        <w:r w:rsidRPr="00FF100A">
          <w:rPr>
            <w:color w:val="1155CC"/>
            <w:sz w:val="24"/>
            <w:szCs w:val="24"/>
            <w:u w:val="single"/>
          </w:rPr>
          <w:t>https://doi.org/10.1186/S13052-022-01310-W</w:t>
        </w:r>
      </w:hyperlink>
      <w:r w:rsidRPr="00FF100A">
        <w:rPr>
          <w:sz w:val="24"/>
          <w:szCs w:val="24"/>
        </w:rPr>
        <w:t>. Acesso em: 28 ago. 2023.</w:t>
      </w:r>
    </w:p>
    <w:p w14:paraId="57D3BDB7" w14:textId="77777777" w:rsidR="00A60453" w:rsidRPr="00FF100A" w:rsidRDefault="008D4FBC" w:rsidP="00FF100A">
      <w:pPr>
        <w:spacing w:before="240" w:after="240" w:line="360" w:lineRule="auto"/>
        <w:jc w:val="both"/>
        <w:rPr>
          <w:sz w:val="24"/>
          <w:szCs w:val="24"/>
        </w:rPr>
      </w:pPr>
      <w:r w:rsidRPr="00FF100A">
        <w:rPr>
          <w:sz w:val="24"/>
          <w:szCs w:val="24"/>
          <w:lang w:val="en-CA"/>
        </w:rPr>
        <w:t xml:space="preserve">SCHURMAN, L. D.; LU, D.; KENDALL, D. A.; HOWLETT, A. C.; LICHTMAN, A. H. Molecular Mechanism and Cannabinoid Pharmacology. </w:t>
      </w:r>
      <w:r w:rsidRPr="00FF100A">
        <w:rPr>
          <w:i/>
          <w:sz w:val="24"/>
          <w:szCs w:val="24"/>
        </w:rPr>
        <w:t xml:space="preserve">Handbook of Experimental </w:t>
      </w:r>
      <w:proofErr w:type="spellStart"/>
      <w:r w:rsidRPr="00FF100A">
        <w:rPr>
          <w:i/>
          <w:sz w:val="24"/>
          <w:szCs w:val="24"/>
        </w:rPr>
        <w:t>Pharmacology</w:t>
      </w:r>
      <w:proofErr w:type="spellEnd"/>
      <w:r w:rsidRPr="00FF100A">
        <w:rPr>
          <w:sz w:val="24"/>
          <w:szCs w:val="24"/>
        </w:rPr>
        <w:t>, v. 258, p. 323–353, 2020. Disponível em:</w:t>
      </w:r>
      <w:hyperlink r:id="rId16">
        <w:r w:rsidRPr="00FF100A">
          <w:rPr>
            <w:color w:val="1155CC"/>
            <w:sz w:val="24"/>
            <w:szCs w:val="24"/>
          </w:rPr>
          <w:t xml:space="preserve"> </w:t>
        </w:r>
      </w:hyperlink>
      <w:hyperlink r:id="rId17">
        <w:r w:rsidRPr="00FF100A">
          <w:rPr>
            <w:color w:val="1155CC"/>
            <w:sz w:val="24"/>
            <w:szCs w:val="24"/>
            <w:u w:val="single"/>
          </w:rPr>
          <w:t>https://doi.org/10.1007/164_2019_298</w:t>
        </w:r>
      </w:hyperlink>
      <w:r w:rsidRPr="00FF100A">
        <w:rPr>
          <w:sz w:val="24"/>
          <w:szCs w:val="24"/>
        </w:rPr>
        <w:t>. Acesso em: 21 set. 2023.</w:t>
      </w:r>
    </w:p>
    <w:p w14:paraId="7121E7AD" w14:textId="77777777" w:rsidR="00A60453" w:rsidRPr="00FF100A" w:rsidRDefault="008D4FBC" w:rsidP="00FF100A">
      <w:pPr>
        <w:spacing w:before="240" w:after="240" w:line="360" w:lineRule="auto"/>
        <w:jc w:val="both"/>
        <w:rPr>
          <w:sz w:val="24"/>
          <w:szCs w:val="24"/>
        </w:rPr>
      </w:pPr>
      <w:r w:rsidRPr="00FF100A">
        <w:rPr>
          <w:sz w:val="24"/>
          <w:szCs w:val="24"/>
          <w:lang w:val="en-CA"/>
        </w:rPr>
        <w:t xml:space="preserve">STANLEY, J.; PEAKE, J. M.; BUCHHEIT, M. Cardiac parasympathetic reactivation following exercise: implications for training prescription. </w:t>
      </w:r>
      <w:r w:rsidRPr="00FF100A">
        <w:rPr>
          <w:i/>
          <w:sz w:val="24"/>
          <w:szCs w:val="24"/>
        </w:rPr>
        <w:t>Sports Medicine (Auckland, N.Z.)</w:t>
      </w:r>
      <w:r w:rsidRPr="00FF100A">
        <w:rPr>
          <w:sz w:val="24"/>
          <w:szCs w:val="24"/>
        </w:rPr>
        <w:t>, v. 43, n. 12, p. 1259–1277, 2013. Disponível em:</w:t>
      </w:r>
      <w:hyperlink r:id="rId18">
        <w:r w:rsidRPr="00FF100A">
          <w:rPr>
            <w:color w:val="1155CC"/>
            <w:sz w:val="24"/>
            <w:szCs w:val="24"/>
          </w:rPr>
          <w:t xml:space="preserve"> </w:t>
        </w:r>
      </w:hyperlink>
      <w:hyperlink r:id="rId19">
        <w:r w:rsidRPr="00FF100A">
          <w:rPr>
            <w:color w:val="1155CC"/>
            <w:sz w:val="24"/>
            <w:szCs w:val="24"/>
            <w:u w:val="single"/>
          </w:rPr>
          <w:t>https://doi.org/10.1007/S40279-013-0083-4</w:t>
        </w:r>
      </w:hyperlink>
      <w:r w:rsidRPr="00FF100A">
        <w:rPr>
          <w:sz w:val="24"/>
          <w:szCs w:val="24"/>
        </w:rPr>
        <w:t xml:space="preserve">. Acesso em: 5 abr. </w:t>
      </w:r>
      <w:proofErr w:type="gramStart"/>
      <w:r w:rsidRPr="00FF100A">
        <w:rPr>
          <w:sz w:val="24"/>
          <w:szCs w:val="24"/>
        </w:rPr>
        <w:t>2023.[</w:t>
      </w:r>
      <w:proofErr w:type="gramEnd"/>
      <w:r w:rsidRPr="00FF100A">
        <w:rPr>
          <w:sz w:val="24"/>
          <w:szCs w:val="24"/>
        </w:rPr>
        <w:t xml:space="preserve">LR1] </w:t>
      </w:r>
    </w:p>
    <w:p w14:paraId="3CC1BBA7" w14:textId="77777777" w:rsidR="00A60453" w:rsidRPr="00FF100A" w:rsidRDefault="008D4FBC" w:rsidP="00FF100A">
      <w:pPr>
        <w:spacing w:before="240" w:after="240" w:line="360" w:lineRule="auto"/>
        <w:jc w:val="both"/>
        <w:rPr>
          <w:b/>
          <w:sz w:val="24"/>
          <w:szCs w:val="24"/>
        </w:rPr>
      </w:pPr>
      <w:r w:rsidRPr="00FF100A">
        <w:rPr>
          <w:b/>
          <w:sz w:val="24"/>
          <w:szCs w:val="24"/>
        </w:rPr>
        <w:t xml:space="preserve"> </w:t>
      </w:r>
    </w:p>
    <w:p w14:paraId="6F48CD68" w14:textId="77777777" w:rsidR="00A60453" w:rsidRPr="00FF100A" w:rsidRDefault="008D4FBC" w:rsidP="00FF100A">
      <w:pPr>
        <w:spacing w:before="240" w:after="240" w:line="360" w:lineRule="auto"/>
        <w:rPr>
          <w:b/>
          <w:sz w:val="24"/>
          <w:szCs w:val="24"/>
        </w:rPr>
      </w:pPr>
      <w:r w:rsidRPr="00FF100A">
        <w:rPr>
          <w:b/>
          <w:sz w:val="24"/>
          <w:szCs w:val="24"/>
        </w:rPr>
        <w:t>Fomento:</w:t>
      </w:r>
    </w:p>
    <w:p w14:paraId="56FD0385" w14:textId="77777777" w:rsidR="00A60453" w:rsidRPr="00FF100A" w:rsidRDefault="008D4FBC" w:rsidP="00FF100A">
      <w:pPr>
        <w:spacing w:before="240" w:after="240" w:line="360" w:lineRule="auto"/>
        <w:jc w:val="both"/>
        <w:rPr>
          <w:sz w:val="24"/>
          <w:szCs w:val="24"/>
        </w:rPr>
      </w:pPr>
      <w:r w:rsidRPr="00FF100A">
        <w:rPr>
          <w:sz w:val="24"/>
          <w:szCs w:val="24"/>
        </w:rPr>
        <w:t>Este trabalho contou com o apoio financeiro da Fundação Coordenação de Aperfeiçoamento de Pessoal de Nível Superior (CAPES).</w:t>
      </w:r>
      <w:r w:rsidRPr="00FF100A">
        <w:rPr>
          <w:sz w:val="24"/>
          <w:szCs w:val="24"/>
        </w:rPr>
        <w:br/>
      </w:r>
      <w:r w:rsidRPr="00FF100A">
        <w:rPr>
          <w:sz w:val="24"/>
          <w:szCs w:val="24"/>
        </w:rPr>
        <w:br/>
      </w:r>
    </w:p>
    <w:p w14:paraId="437CDF28" w14:textId="77777777" w:rsidR="00A60453" w:rsidRDefault="00A60453">
      <w:pPr>
        <w:spacing w:before="240" w:after="240"/>
        <w:jc w:val="both"/>
        <w:rPr>
          <w:sz w:val="24"/>
          <w:szCs w:val="24"/>
        </w:rPr>
      </w:pPr>
    </w:p>
    <w:p w14:paraId="2889D334" w14:textId="77777777" w:rsidR="00A60453" w:rsidRDefault="00A60453">
      <w:pPr>
        <w:spacing w:before="240" w:after="240"/>
        <w:jc w:val="both"/>
        <w:rPr>
          <w:b/>
          <w:sz w:val="24"/>
          <w:szCs w:val="24"/>
        </w:rPr>
      </w:pPr>
    </w:p>
    <w:p w14:paraId="4A784B48" w14:textId="77777777" w:rsidR="00A60453" w:rsidRDefault="00A60453">
      <w:pPr>
        <w:spacing w:before="240" w:after="240" w:line="360" w:lineRule="auto"/>
        <w:jc w:val="both"/>
        <w:rPr>
          <w:sz w:val="24"/>
          <w:szCs w:val="24"/>
        </w:rPr>
      </w:pPr>
    </w:p>
    <w:p w14:paraId="03ECD763" w14:textId="77777777" w:rsidR="00A60453" w:rsidRDefault="00A60453">
      <w:pPr>
        <w:rPr>
          <w:b/>
          <w:sz w:val="24"/>
          <w:szCs w:val="24"/>
        </w:rPr>
      </w:pPr>
    </w:p>
    <w:p w14:paraId="300F965B" w14:textId="77777777" w:rsidR="00A60453" w:rsidRDefault="00A60453">
      <w:pPr>
        <w:rPr>
          <w:b/>
          <w:sz w:val="24"/>
          <w:szCs w:val="24"/>
        </w:rPr>
      </w:pPr>
    </w:p>
    <w:p w14:paraId="6107ED09" w14:textId="77777777" w:rsidR="00A60453" w:rsidRDefault="00A60453">
      <w:pPr>
        <w:rPr>
          <w:sz w:val="24"/>
          <w:szCs w:val="24"/>
        </w:rPr>
      </w:pPr>
    </w:p>
    <w:sectPr w:rsidR="00A60453">
      <w:pgSz w:w="11906" w:h="16838"/>
      <w:pgMar w:top="1700" w:right="1133" w:bottom="1133" w:left="17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453"/>
    <w:rsid w:val="0024066D"/>
    <w:rsid w:val="00372DAE"/>
    <w:rsid w:val="003D5B10"/>
    <w:rsid w:val="00452A03"/>
    <w:rsid w:val="00456731"/>
    <w:rsid w:val="00720514"/>
    <w:rsid w:val="00817C9D"/>
    <w:rsid w:val="008D4FBC"/>
    <w:rsid w:val="00927705"/>
    <w:rsid w:val="00A34E44"/>
    <w:rsid w:val="00A60453"/>
    <w:rsid w:val="00A61344"/>
    <w:rsid w:val="00AC63D0"/>
    <w:rsid w:val="00B02895"/>
    <w:rsid w:val="00B15B9E"/>
    <w:rsid w:val="00C347F5"/>
    <w:rsid w:val="00E62D50"/>
    <w:rsid w:val="00EA016E"/>
    <w:rsid w:val="00F00504"/>
    <w:rsid w:val="00F76271"/>
    <w:rsid w:val="00FF10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4DC95"/>
  <w15:docId w15:val="{D675CF6E-6A62-48F1-8534-CA329FC8C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Refdecomentrio">
    <w:name w:val="annotation reference"/>
    <w:basedOn w:val="Fontepargpadro"/>
    <w:uiPriority w:val="99"/>
    <w:semiHidden/>
    <w:unhideWhenUsed/>
    <w:rsid w:val="003D5B10"/>
    <w:rPr>
      <w:sz w:val="16"/>
      <w:szCs w:val="16"/>
    </w:rPr>
  </w:style>
  <w:style w:type="paragraph" w:styleId="Textodecomentrio">
    <w:name w:val="annotation text"/>
    <w:basedOn w:val="Normal"/>
    <w:link w:val="TextodecomentrioChar"/>
    <w:uiPriority w:val="99"/>
    <w:unhideWhenUsed/>
    <w:rsid w:val="003D5B10"/>
    <w:pPr>
      <w:spacing w:line="240" w:lineRule="auto"/>
    </w:pPr>
    <w:rPr>
      <w:sz w:val="20"/>
      <w:szCs w:val="20"/>
    </w:rPr>
  </w:style>
  <w:style w:type="character" w:customStyle="1" w:styleId="TextodecomentrioChar">
    <w:name w:val="Texto de comentário Char"/>
    <w:basedOn w:val="Fontepargpadro"/>
    <w:link w:val="Textodecomentrio"/>
    <w:uiPriority w:val="99"/>
    <w:rsid w:val="003D5B10"/>
    <w:rPr>
      <w:sz w:val="20"/>
      <w:szCs w:val="20"/>
    </w:rPr>
  </w:style>
  <w:style w:type="paragraph" w:styleId="Assuntodocomentrio">
    <w:name w:val="annotation subject"/>
    <w:basedOn w:val="Textodecomentrio"/>
    <w:next w:val="Textodecomentrio"/>
    <w:link w:val="AssuntodocomentrioChar"/>
    <w:uiPriority w:val="99"/>
    <w:semiHidden/>
    <w:unhideWhenUsed/>
    <w:rsid w:val="003D5B10"/>
    <w:rPr>
      <w:b/>
      <w:bCs/>
    </w:rPr>
  </w:style>
  <w:style w:type="character" w:customStyle="1" w:styleId="AssuntodocomentrioChar">
    <w:name w:val="Assunto do comentário Char"/>
    <w:basedOn w:val="TextodecomentrioChar"/>
    <w:link w:val="Assuntodocomentrio"/>
    <w:uiPriority w:val="99"/>
    <w:semiHidden/>
    <w:rsid w:val="003D5B1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IJMS21134726" TargetMode="External"/><Relationship Id="rId13" Type="http://schemas.openxmlformats.org/officeDocument/2006/relationships/hyperlink" Target="https://doi.org/10.3390/BRAINSCI10030163" TargetMode="External"/><Relationship Id="rId18" Type="http://schemas.openxmlformats.org/officeDocument/2006/relationships/hyperlink" Target="https://doi.org/10.1007/S40279-013-0083-4"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doi.org/10.1007/S13311-015-0387-1" TargetMode="External"/><Relationship Id="rId12" Type="http://schemas.openxmlformats.org/officeDocument/2006/relationships/hyperlink" Target="https://doi.org/10.3390/BRAINSCI10030163" TargetMode="External"/><Relationship Id="rId17" Type="http://schemas.openxmlformats.org/officeDocument/2006/relationships/hyperlink" Target="https://doi.org/10.1007/164_2019_298" TargetMode="External"/><Relationship Id="rId2" Type="http://schemas.openxmlformats.org/officeDocument/2006/relationships/settings" Target="settings.xml"/><Relationship Id="rId16" Type="http://schemas.openxmlformats.org/officeDocument/2006/relationships/hyperlink" Target="https://doi.org/10.1007/164_2019_298"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doi.org/10.1007/S13311-015-0387-1" TargetMode="External"/><Relationship Id="rId11" Type="http://schemas.openxmlformats.org/officeDocument/2006/relationships/hyperlink" Target="https://revista2.grupointegrado.br/revista/index.php/sabios/article/view/2932" TargetMode="External"/><Relationship Id="rId5" Type="http://schemas.openxmlformats.org/officeDocument/2006/relationships/hyperlink" Target="https://doi.org/10.5935/CADERNOSDISTURBIOS.V19N2P38-60" TargetMode="External"/><Relationship Id="rId15" Type="http://schemas.openxmlformats.org/officeDocument/2006/relationships/hyperlink" Target="https://doi.org/10.1186/S13052-022-01310-W" TargetMode="External"/><Relationship Id="rId10" Type="http://schemas.openxmlformats.org/officeDocument/2006/relationships/hyperlink" Target="https://revista2.grupointegrado.br/revista/index.php/sabios/article/view/2932" TargetMode="External"/><Relationship Id="rId19" Type="http://schemas.openxmlformats.org/officeDocument/2006/relationships/hyperlink" Target="https://doi.org/10.1007/S40279-013-0083-4" TargetMode="External"/><Relationship Id="rId4" Type="http://schemas.openxmlformats.org/officeDocument/2006/relationships/hyperlink" Target="https://doi.org/10.5935/CADERNOSDISTURBIOS.V19N2P38-60" TargetMode="External"/><Relationship Id="rId9" Type="http://schemas.openxmlformats.org/officeDocument/2006/relationships/hyperlink" Target="https://doi.org/10.3390/IJMS21134726" TargetMode="External"/><Relationship Id="rId14" Type="http://schemas.openxmlformats.org/officeDocument/2006/relationships/hyperlink" Target="https://doi.org/10.1186/S13052-022-01310-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2201</Words>
  <Characters>11888</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Leonardo Ribeiro Miedes</dc:creator>
  <cp:lastModifiedBy>Leonardo Ribeiro Miedes</cp:lastModifiedBy>
  <cp:revision>5</cp:revision>
  <dcterms:created xsi:type="dcterms:W3CDTF">2024-11-29T22:01:00Z</dcterms:created>
  <dcterms:modified xsi:type="dcterms:W3CDTF">2024-11-29T22:58:00Z</dcterms:modified>
</cp:coreProperties>
</file>