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A2725" w:rsidRDefault="00AB2A49" w:rsidP="005F71DB">
      <w:pPr>
        <w:pStyle w:val="Heading1"/>
        <w:spacing w:before="80" w:line="360" w:lineRule="auto"/>
        <w:ind w:left="0" w:right="13"/>
        <w:jc w:val="center"/>
      </w:pPr>
      <w:r>
        <w:t>A PARIDADE DE GÊNERO NO TRIBUNAL DO JÚRI: UMA ANÁLISE COMPARATIVA COM OS MINIPÚBLICOS DA ESFERA POLÍTICA</w:t>
      </w:r>
    </w:p>
    <w:p w14:paraId="00000004" w14:textId="59E1DB82" w:rsidR="00BA2725" w:rsidRPr="005F71DB" w:rsidRDefault="00AB2A49" w:rsidP="005F71DB">
      <w:pPr>
        <w:pBdr>
          <w:top w:val="nil"/>
          <w:left w:val="nil"/>
          <w:bottom w:val="nil"/>
          <w:right w:val="nil"/>
          <w:between w:val="nil"/>
        </w:pBdr>
        <w:spacing w:line="360" w:lineRule="auto"/>
        <w:ind w:left="1" w:right="13"/>
        <w:jc w:val="center"/>
        <w:rPr>
          <w:color w:val="000000"/>
          <w:sz w:val="24"/>
          <w:szCs w:val="24"/>
        </w:rPr>
      </w:pPr>
      <w:r>
        <w:rPr>
          <w:color w:val="000000"/>
          <w:sz w:val="24"/>
          <w:szCs w:val="24"/>
        </w:rPr>
        <w:t>Beatriz do Valle Correa Pinto Coelho; Pedro Martins de Ávila; André Rubião</w:t>
      </w:r>
    </w:p>
    <w:p w14:paraId="00000005" w14:textId="77777777" w:rsidR="00BA2725" w:rsidRPr="005F71DB" w:rsidRDefault="00BA2725" w:rsidP="005F71DB">
      <w:pPr>
        <w:pStyle w:val="Heading1"/>
        <w:spacing w:before="41" w:line="360" w:lineRule="auto"/>
        <w:ind w:firstLine="100"/>
      </w:pPr>
    </w:p>
    <w:p w14:paraId="00000006" w14:textId="5D855D0F" w:rsidR="00BA2725" w:rsidRPr="005F71DB" w:rsidRDefault="005F71DB" w:rsidP="003408D3">
      <w:pPr>
        <w:spacing w:after="160" w:line="360" w:lineRule="auto"/>
        <w:jc w:val="both"/>
        <w:rPr>
          <w:rFonts w:eastAsia="Times New Roman"/>
          <w:sz w:val="24"/>
          <w:szCs w:val="24"/>
        </w:rPr>
      </w:pPr>
      <w:r w:rsidRPr="005F71DB">
        <w:rPr>
          <w:rFonts w:eastAsia="Times New Roman"/>
          <w:sz w:val="24"/>
          <w:szCs w:val="24"/>
        </w:rPr>
        <w:t>Beatriz do Valle Correa Pinto Coelho.</w:t>
      </w:r>
      <w:r w:rsidR="00AB2A49" w:rsidRPr="005F71DB">
        <w:rPr>
          <w:rFonts w:eastAsia="Times New Roman"/>
          <w:sz w:val="24"/>
          <w:szCs w:val="24"/>
        </w:rPr>
        <w:t xml:space="preserve"> Graduand</w:t>
      </w:r>
      <w:r w:rsidRPr="005F71DB">
        <w:rPr>
          <w:rFonts w:eastAsia="Times New Roman"/>
          <w:sz w:val="24"/>
          <w:szCs w:val="24"/>
        </w:rPr>
        <w:t>a</w:t>
      </w:r>
      <w:r w:rsidR="00AB2A49" w:rsidRPr="005F71DB">
        <w:rPr>
          <w:rFonts w:eastAsia="Times New Roman"/>
          <w:sz w:val="24"/>
          <w:szCs w:val="24"/>
        </w:rPr>
        <w:t xml:space="preserve"> em Direito pela Faculdade Milton Campos. E-mail: </w:t>
      </w:r>
      <w:hyperlink r:id="rId4" w:history="1">
        <w:r w:rsidR="00FF70D9" w:rsidRPr="0057241C">
          <w:rPr>
            <w:rStyle w:val="Hyperlink"/>
            <w:rFonts w:eastAsia="Times New Roman"/>
            <w:sz w:val="24"/>
            <w:szCs w:val="24"/>
          </w:rPr>
          <w:t>coelhobeatriz204@gmail.com</w:t>
        </w:r>
      </w:hyperlink>
      <w:r w:rsidR="00AB2A49" w:rsidRPr="005F71DB">
        <w:rPr>
          <w:rFonts w:eastAsia="Times New Roman"/>
          <w:sz w:val="24"/>
          <w:szCs w:val="24"/>
        </w:rPr>
        <w:t xml:space="preserve"> </w:t>
      </w:r>
    </w:p>
    <w:p w14:paraId="00000007" w14:textId="7C26915E" w:rsidR="00BA2725" w:rsidRPr="005F71DB" w:rsidRDefault="005F71DB" w:rsidP="003408D3">
      <w:pPr>
        <w:spacing w:after="160" w:line="360" w:lineRule="auto"/>
        <w:jc w:val="both"/>
        <w:rPr>
          <w:rFonts w:eastAsia="Times New Roman"/>
          <w:sz w:val="24"/>
          <w:szCs w:val="24"/>
        </w:rPr>
      </w:pPr>
      <w:r w:rsidRPr="005F71DB">
        <w:rPr>
          <w:rFonts w:eastAsia="Times New Roman"/>
          <w:sz w:val="24"/>
          <w:szCs w:val="24"/>
        </w:rPr>
        <w:t>Pedro Martins de Ávila.</w:t>
      </w:r>
      <w:r w:rsidR="00AB2A49" w:rsidRPr="005F71DB">
        <w:rPr>
          <w:rFonts w:eastAsia="Times New Roman"/>
          <w:sz w:val="24"/>
          <w:szCs w:val="24"/>
        </w:rPr>
        <w:t xml:space="preserve"> Graduando em Direito pela Faculdade Milton Campos. E-mail: </w:t>
      </w:r>
      <w:hyperlink r:id="rId5" w:history="1">
        <w:r w:rsidRPr="0057241C">
          <w:rPr>
            <w:rStyle w:val="Hyperlink"/>
            <w:rFonts w:eastAsia="Times New Roman"/>
            <w:sz w:val="24"/>
            <w:szCs w:val="24"/>
          </w:rPr>
          <w:t>pedromaavilaa123@gmail.com</w:t>
        </w:r>
      </w:hyperlink>
    </w:p>
    <w:p w14:paraId="0000000D" w14:textId="406C4ACD" w:rsidR="00BA2725" w:rsidRPr="005F71DB" w:rsidRDefault="00AB2A49" w:rsidP="003408D3">
      <w:pPr>
        <w:spacing w:after="160" w:line="360" w:lineRule="auto"/>
        <w:jc w:val="both"/>
        <w:rPr>
          <w:rFonts w:eastAsia="Times New Roman"/>
          <w:sz w:val="24"/>
          <w:szCs w:val="24"/>
        </w:rPr>
      </w:pPr>
      <w:bookmarkStart w:id="0" w:name="_gjdgxs" w:colFirst="0" w:colLast="0"/>
      <w:bookmarkEnd w:id="0"/>
      <w:r w:rsidRPr="005F71DB">
        <w:rPr>
          <w:rFonts w:eastAsia="Times New Roman"/>
          <w:sz w:val="24"/>
          <w:szCs w:val="24"/>
        </w:rPr>
        <w:t xml:space="preserve">André Rubião. Doutor em ciência política (Universidade Paris 8). Professor da Faculdade Milton Campos. E-mail: </w:t>
      </w:r>
      <w:hyperlink r:id="rId6">
        <w:r w:rsidRPr="005F71DB">
          <w:rPr>
            <w:rFonts w:eastAsia="Times New Roman"/>
            <w:color w:val="0000FF"/>
            <w:sz w:val="24"/>
            <w:szCs w:val="24"/>
            <w:u w:val="single"/>
          </w:rPr>
          <w:t>rubiao.andre@gmail.com</w:t>
        </w:r>
      </w:hyperlink>
    </w:p>
    <w:p w14:paraId="76BBFC6E" w14:textId="77777777" w:rsidR="005F71DB" w:rsidRDefault="005F71DB" w:rsidP="005F71DB">
      <w:pPr>
        <w:pStyle w:val="Heading1"/>
        <w:spacing w:before="41" w:line="360" w:lineRule="auto"/>
      </w:pPr>
    </w:p>
    <w:p w14:paraId="0000000F" w14:textId="316B26CB" w:rsidR="00BA2725" w:rsidRDefault="00AB2A49" w:rsidP="005F71DB">
      <w:pPr>
        <w:pStyle w:val="Heading1"/>
        <w:spacing w:before="41" w:line="360" w:lineRule="auto"/>
      </w:pPr>
      <w:r>
        <w:t>RESUMO</w:t>
      </w:r>
    </w:p>
    <w:p w14:paraId="00000010" w14:textId="77777777" w:rsidR="00BA2725" w:rsidRDefault="00AB2A49" w:rsidP="005F71DB">
      <w:pPr>
        <w:pBdr>
          <w:top w:val="nil"/>
          <w:left w:val="nil"/>
          <w:bottom w:val="nil"/>
          <w:right w:val="nil"/>
          <w:between w:val="nil"/>
        </w:pBdr>
        <w:spacing w:before="41" w:line="360" w:lineRule="auto"/>
        <w:ind w:left="100" w:right="113"/>
        <w:jc w:val="both"/>
        <w:rPr>
          <w:color w:val="000000"/>
          <w:sz w:val="24"/>
          <w:szCs w:val="24"/>
        </w:rPr>
      </w:pPr>
      <w:r>
        <w:rPr>
          <w:color w:val="000000"/>
          <w:sz w:val="24"/>
          <w:szCs w:val="24"/>
        </w:rPr>
        <w:t>A busca pela paridade de gênero no Sistema de Justiça Brasileiro tem avançado por meio de normativas como a Resolução nº 225/2018 do CNJ, mas ainda enfrenta desafios no âmbito do Tribunal do Júri, onde o Conselho de Sentença carece de mecanismos que assegurem um equilíbrio representativo entre homens e mulheres. Diferentemente dos minipúblicos, que utilizam amostras representativas para refletir a diversidade da sociedade, incluindo critérios de gênero, o Tribunal do Júri mantém uma estrutura que pode levar à sub-representação, comprometendo a pluralidade nas deliberações. Nesse sentido, o Projeto de Lei nº 1918/2021, que propõe a composição paritária dos jurados, representa um avanço importante para garantir que o júri, enquanto base do sistema de justiça, reflita valores contemporâneos de igualdade e diversidade, fortalecendo a legitimidade e a justiça de suas decisões.</w:t>
      </w:r>
    </w:p>
    <w:p w14:paraId="165E0ED1" w14:textId="77777777" w:rsidR="005F71DB" w:rsidRDefault="005F71DB" w:rsidP="005F71DB">
      <w:pPr>
        <w:pBdr>
          <w:top w:val="nil"/>
          <w:left w:val="nil"/>
          <w:bottom w:val="nil"/>
          <w:right w:val="nil"/>
          <w:between w:val="nil"/>
        </w:pBdr>
        <w:spacing w:before="41" w:line="360" w:lineRule="auto"/>
        <w:ind w:left="100" w:right="113"/>
        <w:jc w:val="both"/>
        <w:rPr>
          <w:color w:val="000000"/>
          <w:sz w:val="24"/>
          <w:szCs w:val="24"/>
        </w:rPr>
      </w:pPr>
    </w:p>
    <w:p w14:paraId="00000011" w14:textId="77777777" w:rsidR="00BA2725" w:rsidRDefault="00AB2A49" w:rsidP="005F71DB">
      <w:pPr>
        <w:spacing w:line="360" w:lineRule="auto"/>
        <w:ind w:left="100"/>
        <w:jc w:val="both"/>
        <w:rPr>
          <w:sz w:val="24"/>
          <w:szCs w:val="24"/>
        </w:rPr>
      </w:pPr>
      <w:r>
        <w:rPr>
          <w:b/>
          <w:sz w:val="24"/>
          <w:szCs w:val="24"/>
        </w:rPr>
        <w:t xml:space="preserve">PALAVRAS-CHAVE: </w:t>
      </w:r>
      <w:r>
        <w:rPr>
          <w:sz w:val="24"/>
          <w:szCs w:val="24"/>
        </w:rPr>
        <w:t>Paridade de gênero, Tribunal do Júri, minipúblicos.</w:t>
      </w:r>
    </w:p>
    <w:p w14:paraId="468A4F3A" w14:textId="77777777" w:rsidR="005F71DB" w:rsidRDefault="005F71DB" w:rsidP="005F71DB">
      <w:pPr>
        <w:pStyle w:val="Heading1"/>
        <w:spacing w:line="360" w:lineRule="auto"/>
      </w:pPr>
    </w:p>
    <w:p w14:paraId="00000013" w14:textId="11C826EF" w:rsidR="00BA2725" w:rsidRDefault="00AB2A49" w:rsidP="005F71DB">
      <w:pPr>
        <w:pStyle w:val="Heading1"/>
        <w:spacing w:line="360" w:lineRule="auto"/>
      </w:pPr>
      <w:r>
        <w:t>I</w:t>
      </w:r>
      <w:r w:rsidR="005F71DB">
        <w:t>NTRODUÇÃO</w:t>
      </w:r>
    </w:p>
    <w:p w14:paraId="00000014" w14:textId="77777777" w:rsidR="00BA2725" w:rsidRDefault="00AB2A49" w:rsidP="005F71DB">
      <w:pPr>
        <w:pBdr>
          <w:top w:val="nil"/>
          <w:left w:val="nil"/>
          <w:bottom w:val="nil"/>
          <w:right w:val="nil"/>
          <w:between w:val="nil"/>
        </w:pBdr>
        <w:spacing w:before="42" w:line="360" w:lineRule="auto"/>
        <w:ind w:left="100" w:right="114"/>
        <w:jc w:val="both"/>
        <w:rPr>
          <w:color w:val="000000"/>
          <w:sz w:val="24"/>
          <w:szCs w:val="24"/>
        </w:rPr>
      </w:pPr>
      <w:r>
        <w:rPr>
          <w:color w:val="000000"/>
          <w:sz w:val="24"/>
          <w:szCs w:val="24"/>
        </w:rPr>
        <w:t xml:space="preserve">A paridade de gênero vem ganhando cada vez mais notoriedade no âmbito da Justiça Brasileira. Fundada no princípio da isonomia, previsto no artigo 5º, da CRFB/88, a igualdade entre homens e mulheres em diferentes campos do Poder Judiciário passa a ser estimulada, através de atos normativos, como por exemplo a Resolução nº 225/2018, do Conselho Nacional de Justiça, que prevê a Política </w:t>
      </w:r>
      <w:r>
        <w:rPr>
          <w:color w:val="000000"/>
          <w:sz w:val="24"/>
          <w:szCs w:val="24"/>
        </w:rPr>
        <w:lastRenderedPageBreak/>
        <w:t>Nacional de Incentivo à Participação Feminina no Poder Judiciário.</w:t>
      </w:r>
    </w:p>
    <w:p w14:paraId="00000015" w14:textId="5C474E7C" w:rsidR="00BA2725" w:rsidRDefault="00AB2A49" w:rsidP="005F71DB">
      <w:pPr>
        <w:pBdr>
          <w:top w:val="nil"/>
          <w:left w:val="nil"/>
          <w:bottom w:val="nil"/>
          <w:right w:val="nil"/>
          <w:between w:val="nil"/>
        </w:pBdr>
        <w:spacing w:line="360" w:lineRule="auto"/>
        <w:ind w:left="100" w:right="122"/>
        <w:jc w:val="both"/>
        <w:rPr>
          <w:color w:val="000000"/>
          <w:sz w:val="24"/>
          <w:szCs w:val="24"/>
        </w:rPr>
      </w:pPr>
      <w:r>
        <w:rPr>
          <w:color w:val="000000"/>
          <w:sz w:val="24"/>
          <w:szCs w:val="24"/>
        </w:rPr>
        <w:t>Nesse contexto, é possível pensar a paridade de gênero no Conselho de Sentença do Tribunal do Júri. Este é o único mecanismo, no Sistema de Justiça brasileiro, que envolve os cidadãos no processo de tomada de decisão. Válido somente para julgar crimes dolosos contra a vida, o Tribunal do Júri não estabelece critério de equilíbrio entre homens e mulheres, o que pode gerar distorções cognitivas ou vieses de gênero nas decisões.</w:t>
      </w:r>
    </w:p>
    <w:p w14:paraId="00000016" w14:textId="77777777" w:rsidR="00BA2725" w:rsidRDefault="00AB2A49" w:rsidP="005F71DB">
      <w:pPr>
        <w:pBdr>
          <w:top w:val="nil"/>
          <w:left w:val="nil"/>
          <w:bottom w:val="nil"/>
          <w:right w:val="nil"/>
          <w:between w:val="nil"/>
        </w:pBdr>
        <w:spacing w:line="360" w:lineRule="auto"/>
        <w:ind w:left="100" w:right="113"/>
        <w:jc w:val="both"/>
        <w:rPr>
          <w:color w:val="000000"/>
          <w:sz w:val="24"/>
          <w:szCs w:val="24"/>
        </w:rPr>
      </w:pPr>
      <w:r>
        <w:rPr>
          <w:color w:val="000000"/>
          <w:sz w:val="24"/>
          <w:szCs w:val="24"/>
        </w:rPr>
        <w:t>O objetivo deste trabalho é mostrar um outro mecanismo, denominado minipúblico, que envolve os cidadãos no processo decisórios. Formados por meio de amostra representativa, respeitando critérios de gênero, idade, raça e classe social, os minipúblicos visam constituir uma miniatura da sociedade, como é feito nas pesquisas de opinião, mas fazer com que essas pessoas possam se reunir e deliberar sobre um assunto de interesse público, buscando uma opinião esclarecida. De que forma as experiências em torno do minipúblico podem contribuir para trazer mais legitimidade para as decisões do Tribunal do Júri?</w:t>
      </w:r>
    </w:p>
    <w:p w14:paraId="00000017" w14:textId="77777777" w:rsidR="00BA2725" w:rsidRDefault="00BA2725" w:rsidP="005F71DB">
      <w:pPr>
        <w:pBdr>
          <w:top w:val="nil"/>
          <w:left w:val="nil"/>
          <w:bottom w:val="nil"/>
          <w:right w:val="nil"/>
          <w:between w:val="nil"/>
        </w:pBdr>
        <w:spacing w:before="41" w:line="360" w:lineRule="auto"/>
        <w:rPr>
          <w:color w:val="000000"/>
          <w:sz w:val="24"/>
          <w:szCs w:val="24"/>
        </w:rPr>
      </w:pPr>
    </w:p>
    <w:p w14:paraId="00000018" w14:textId="77777777" w:rsidR="00BA2725" w:rsidRDefault="00AB2A49" w:rsidP="005F71DB">
      <w:pPr>
        <w:pStyle w:val="Heading1"/>
        <w:spacing w:line="360" w:lineRule="auto"/>
      </w:pPr>
      <w:r>
        <w:t>MÉTODO</w:t>
      </w:r>
    </w:p>
    <w:p w14:paraId="22C2C53A" w14:textId="77777777" w:rsidR="005F71DB" w:rsidRDefault="00AB2A49" w:rsidP="005F71DB">
      <w:pPr>
        <w:pBdr>
          <w:top w:val="nil"/>
          <w:left w:val="nil"/>
          <w:bottom w:val="nil"/>
          <w:right w:val="nil"/>
          <w:between w:val="nil"/>
        </w:pBdr>
        <w:spacing w:before="41" w:line="360" w:lineRule="auto"/>
        <w:ind w:left="100" w:right="116"/>
        <w:jc w:val="both"/>
        <w:rPr>
          <w:color w:val="000000"/>
          <w:sz w:val="24"/>
          <w:szCs w:val="24"/>
        </w:rPr>
      </w:pPr>
      <w:r>
        <w:rPr>
          <w:color w:val="000000"/>
          <w:sz w:val="24"/>
          <w:szCs w:val="24"/>
        </w:rPr>
        <w:t>A pesquisa trabalhou com o método hipotético-dedutivo, por meio da análise bibliográfica e da consulta a textos legislativos.</w:t>
      </w:r>
    </w:p>
    <w:p w14:paraId="41B7A493" w14:textId="77777777" w:rsidR="005F71DB" w:rsidRDefault="005F71DB" w:rsidP="005F71DB">
      <w:pPr>
        <w:pBdr>
          <w:top w:val="nil"/>
          <w:left w:val="nil"/>
          <w:bottom w:val="nil"/>
          <w:right w:val="nil"/>
          <w:between w:val="nil"/>
        </w:pBdr>
        <w:spacing w:before="41" w:line="360" w:lineRule="auto"/>
        <w:ind w:left="100" w:right="116"/>
        <w:jc w:val="both"/>
      </w:pPr>
    </w:p>
    <w:p w14:paraId="0000001A" w14:textId="34587CC7" w:rsidR="00BA2725" w:rsidRDefault="00AB2A49" w:rsidP="005F71DB">
      <w:pPr>
        <w:pBdr>
          <w:top w:val="nil"/>
          <w:left w:val="nil"/>
          <w:bottom w:val="nil"/>
          <w:right w:val="nil"/>
          <w:between w:val="nil"/>
        </w:pBdr>
        <w:spacing w:before="41" w:line="360" w:lineRule="auto"/>
        <w:ind w:left="100" w:right="116"/>
        <w:jc w:val="both"/>
        <w:rPr>
          <w:b/>
          <w:bCs/>
          <w:sz w:val="24"/>
          <w:szCs w:val="24"/>
        </w:rPr>
      </w:pPr>
      <w:r w:rsidRPr="005F71DB">
        <w:rPr>
          <w:b/>
          <w:bCs/>
          <w:sz w:val="24"/>
          <w:szCs w:val="24"/>
        </w:rPr>
        <w:t>RESULTADOS E DISCUSSÕES</w:t>
      </w:r>
    </w:p>
    <w:p w14:paraId="2F99441B" w14:textId="77777777" w:rsidR="005F71DB" w:rsidRPr="005F71DB" w:rsidRDefault="005F71DB" w:rsidP="005F71DB">
      <w:pPr>
        <w:pBdr>
          <w:top w:val="nil"/>
          <w:left w:val="nil"/>
          <w:bottom w:val="nil"/>
          <w:right w:val="nil"/>
          <w:between w:val="nil"/>
        </w:pBdr>
        <w:spacing w:before="41" w:line="360" w:lineRule="auto"/>
        <w:ind w:left="100" w:right="116"/>
        <w:jc w:val="both"/>
        <w:rPr>
          <w:b/>
          <w:bCs/>
          <w:sz w:val="24"/>
          <w:szCs w:val="24"/>
        </w:rPr>
      </w:pPr>
    </w:p>
    <w:p w14:paraId="0000001B" w14:textId="77777777" w:rsidR="00BA2725" w:rsidRDefault="00AB2A49" w:rsidP="005F71DB">
      <w:pPr>
        <w:pBdr>
          <w:top w:val="nil"/>
          <w:left w:val="nil"/>
          <w:bottom w:val="nil"/>
          <w:right w:val="nil"/>
          <w:between w:val="nil"/>
        </w:pBdr>
        <w:spacing w:before="41" w:line="360" w:lineRule="auto"/>
        <w:ind w:left="100" w:right="116"/>
        <w:jc w:val="both"/>
        <w:rPr>
          <w:color w:val="000000"/>
          <w:sz w:val="24"/>
          <w:szCs w:val="24"/>
        </w:rPr>
      </w:pPr>
      <w:r>
        <w:rPr>
          <w:color w:val="000000"/>
          <w:sz w:val="24"/>
          <w:szCs w:val="24"/>
        </w:rPr>
        <w:t>A ideia de selecionar cidadãos aleatoriamente para tomar decisões políticas é antiga. Ela remonta ao século de Péricles e era considerada a essência da democracia. Como dizia Aristóteles (1997), ao contrário da eleição, que normalmente é influenciada pelo poder ou pela riqueza das pessoas, no sorteio, qualquer cidadão pode ser escolhido para exercer uma função pública. Esse mecanismo, amplamente utilizado na época de ouro ateniense, acabou desaparecendo, mas ressurgiu nas últimas décadas (SINTOMER, 2010).</w:t>
      </w:r>
    </w:p>
    <w:p w14:paraId="0000001C" w14:textId="6A85C9E0" w:rsidR="00BA2725" w:rsidRDefault="00AB2A49" w:rsidP="005F71DB">
      <w:pPr>
        <w:pBdr>
          <w:top w:val="nil"/>
          <w:left w:val="nil"/>
          <w:bottom w:val="nil"/>
          <w:right w:val="nil"/>
          <w:between w:val="nil"/>
        </w:pBdr>
        <w:spacing w:line="360" w:lineRule="auto"/>
        <w:ind w:left="100" w:right="113"/>
        <w:jc w:val="both"/>
        <w:rPr>
          <w:color w:val="000000"/>
          <w:sz w:val="24"/>
          <w:szCs w:val="24"/>
        </w:rPr>
      </w:pPr>
      <w:r>
        <w:rPr>
          <w:color w:val="000000"/>
          <w:sz w:val="24"/>
          <w:szCs w:val="24"/>
        </w:rPr>
        <w:t xml:space="preserve">Conhecida como minipúblico, essa técnica de uso do sorteio utiliza-se do instrumento da amostra representativa, por meio da qual é possível fazer uma miniatura da sociedade, utilizando-se dados estatísticos. Os minipúblicos foram amplamente utilizados em casos envolvendo reforma constitucional (FARRELL; </w:t>
      </w:r>
      <w:r>
        <w:rPr>
          <w:color w:val="000000"/>
          <w:sz w:val="24"/>
          <w:szCs w:val="24"/>
        </w:rPr>
        <w:lastRenderedPageBreak/>
        <w:t>SUITER, 2019), escolha de candidatos para cargos públicos (RUBIÃO, 2021), convenções para decidir sobre temas ligados a políticas públicas (GIRAUDET et al., 2022), debates para fomentar a opinião pública (FISHKIN, 1991) etc.</w:t>
      </w:r>
    </w:p>
    <w:p w14:paraId="0000001D" w14:textId="34025D8E" w:rsidR="00BA2725" w:rsidRDefault="00AB2A49" w:rsidP="005F71DB">
      <w:pPr>
        <w:pBdr>
          <w:top w:val="nil"/>
          <w:left w:val="nil"/>
          <w:bottom w:val="nil"/>
          <w:right w:val="nil"/>
          <w:between w:val="nil"/>
        </w:pBdr>
        <w:spacing w:line="360" w:lineRule="auto"/>
        <w:ind w:left="100" w:right="117"/>
        <w:jc w:val="both"/>
        <w:rPr>
          <w:color w:val="000000"/>
          <w:sz w:val="24"/>
          <w:szCs w:val="24"/>
        </w:rPr>
      </w:pPr>
      <w:r>
        <w:rPr>
          <w:color w:val="000000"/>
          <w:sz w:val="24"/>
          <w:szCs w:val="24"/>
        </w:rPr>
        <w:t xml:space="preserve">O objetivo </w:t>
      </w:r>
      <w:r w:rsidR="00681432">
        <w:rPr>
          <w:color w:val="000000"/>
          <w:sz w:val="24"/>
          <w:szCs w:val="24"/>
        </w:rPr>
        <w:t xml:space="preserve">nesses </w:t>
      </w:r>
      <w:r>
        <w:rPr>
          <w:color w:val="000000"/>
          <w:sz w:val="24"/>
          <w:szCs w:val="24"/>
        </w:rPr>
        <w:t>casos é reunir cidadãos, selecionados aleatoriamente, e convidá-los a tomar decisões informadas, com o apoio de moderadores independentes. Durante o processo, os participantes são expostos a diferentes pontos de vista e têm a oportunidade de fazer perguntas a especialistas sobre assuntos controversos, garantindo um ambiente de discussão transparente e equilibrado (RUBIÃO, 2018).</w:t>
      </w:r>
    </w:p>
    <w:p w14:paraId="0000001E" w14:textId="77777777" w:rsidR="00BA2725" w:rsidRDefault="00AB2A49" w:rsidP="005F71DB">
      <w:pPr>
        <w:pBdr>
          <w:top w:val="nil"/>
          <w:left w:val="nil"/>
          <w:bottom w:val="nil"/>
          <w:right w:val="nil"/>
          <w:between w:val="nil"/>
        </w:pBdr>
        <w:spacing w:line="360" w:lineRule="auto"/>
        <w:ind w:left="100" w:right="119"/>
        <w:jc w:val="both"/>
        <w:rPr>
          <w:color w:val="000000"/>
          <w:sz w:val="24"/>
          <w:szCs w:val="24"/>
        </w:rPr>
      </w:pPr>
      <w:r>
        <w:rPr>
          <w:color w:val="000000"/>
          <w:sz w:val="24"/>
          <w:szCs w:val="24"/>
        </w:rPr>
        <w:t>Como podemos observar, há uma preocupação em assegurar uma composição que reflita de forma justa a diversidade da sociedade, incluindo a paridade de gênero. Isso garante que homens e mulheres tenham a oportunidade de ser representados, permitindo que as decisões sejam tomadas a partir de uma ampla variedade de perspectivas, o que fortalece a legitimidade e a justiça do processo deliberativo.</w:t>
      </w:r>
    </w:p>
    <w:p w14:paraId="0000001F" w14:textId="77777777" w:rsidR="00BA2725" w:rsidRDefault="00AB2A49" w:rsidP="005F71DB">
      <w:pPr>
        <w:pBdr>
          <w:top w:val="nil"/>
          <w:left w:val="nil"/>
          <w:bottom w:val="nil"/>
          <w:right w:val="nil"/>
          <w:between w:val="nil"/>
        </w:pBdr>
        <w:spacing w:line="360" w:lineRule="auto"/>
        <w:ind w:left="100" w:right="114"/>
        <w:jc w:val="both"/>
        <w:rPr>
          <w:color w:val="000000"/>
          <w:sz w:val="24"/>
          <w:szCs w:val="24"/>
        </w:rPr>
      </w:pPr>
      <w:r>
        <w:rPr>
          <w:color w:val="000000"/>
          <w:sz w:val="24"/>
          <w:szCs w:val="24"/>
        </w:rPr>
        <w:t>No Tribunal do Júri, porém, a ausência de mecanismos que assegurem essa paridade pode levar a uma sub-representação entre os jurados, o que prejudica a diversidade de visões e experiências nas deliberações. A composição equilibrada de gênero, como promovida nos minipúblicos, poderia servir de modelo para o Tribunal do Júri, assegurando uma maior representatividade democrática e decisões mais inclusivas.</w:t>
      </w:r>
    </w:p>
    <w:p w14:paraId="21E1BB41" w14:textId="55CEAF24" w:rsidR="005F71DB" w:rsidRDefault="00AB2A49" w:rsidP="005F71DB">
      <w:pPr>
        <w:pBdr>
          <w:top w:val="nil"/>
          <w:left w:val="nil"/>
          <w:bottom w:val="nil"/>
          <w:right w:val="nil"/>
          <w:between w:val="nil"/>
        </w:pBdr>
        <w:spacing w:line="360" w:lineRule="auto"/>
        <w:ind w:left="100" w:right="121"/>
        <w:jc w:val="both"/>
        <w:rPr>
          <w:color w:val="000000"/>
          <w:sz w:val="24"/>
          <w:szCs w:val="24"/>
        </w:rPr>
      </w:pPr>
      <w:r>
        <w:rPr>
          <w:color w:val="000000"/>
          <w:sz w:val="24"/>
          <w:szCs w:val="24"/>
        </w:rPr>
        <w:t>No cenário contemporâneo, o debate sobre a paridade de gênero no Sistema de Justiça tem ganhado relevância no Brasil. Hoje é mais comum observar mulheres em cargos de destaque em comparação com o passado, refletindo o impacto de</w:t>
      </w:r>
      <w:r w:rsidR="00681432">
        <w:rPr>
          <w:color w:val="000000"/>
          <w:sz w:val="24"/>
          <w:szCs w:val="24"/>
        </w:rPr>
        <w:t xml:space="preserve"> </w:t>
      </w:r>
      <w:r>
        <w:rPr>
          <w:color w:val="000000"/>
          <w:sz w:val="24"/>
          <w:szCs w:val="24"/>
        </w:rPr>
        <w:t>medidas voltadas à promoção da representatividade feminina no judiciário. Entre essas iniciativas, destacam-se tanto políticas públicas quanto ações do Conselho Nacional de Justiça, como a Resolução 225/2018, que estabelece a destinação de 50% dos cargos, conforme a legislação, para mulheres. Outro exemplo é a Portaria nº 6.034/2023, do Estado de Minas Gerais, que constitui um grupo de estudos, dentro do Tribunal de Justiça, para propor medidas que venham a assegurar a igualdade de gênero</w:t>
      </w:r>
    </w:p>
    <w:p w14:paraId="00000021" w14:textId="7521E76B" w:rsidR="00BA2725" w:rsidRDefault="005F71DB" w:rsidP="005F71DB">
      <w:pPr>
        <w:pBdr>
          <w:top w:val="nil"/>
          <w:left w:val="nil"/>
          <w:bottom w:val="nil"/>
          <w:right w:val="nil"/>
          <w:between w:val="nil"/>
        </w:pBdr>
        <w:spacing w:line="360" w:lineRule="auto"/>
        <w:ind w:left="100" w:right="121"/>
        <w:jc w:val="both"/>
        <w:rPr>
          <w:color w:val="000000"/>
          <w:sz w:val="24"/>
          <w:szCs w:val="24"/>
        </w:rPr>
      </w:pPr>
      <w:r>
        <w:rPr>
          <w:color w:val="000000"/>
          <w:sz w:val="24"/>
          <w:szCs w:val="24"/>
        </w:rPr>
        <w:t xml:space="preserve">No </w:t>
      </w:r>
      <w:r w:rsidR="00AB2A49">
        <w:rPr>
          <w:color w:val="000000"/>
          <w:sz w:val="24"/>
          <w:szCs w:val="24"/>
        </w:rPr>
        <w:t>qu</w:t>
      </w:r>
      <w:r>
        <w:rPr>
          <w:color w:val="000000"/>
          <w:sz w:val="24"/>
          <w:szCs w:val="24"/>
        </w:rPr>
        <w:t>e</w:t>
      </w:r>
      <w:r w:rsidR="00AB2A49">
        <w:rPr>
          <w:color w:val="000000"/>
          <w:sz w:val="24"/>
          <w:szCs w:val="24"/>
        </w:rPr>
        <w:t xml:space="preserve"> to</w:t>
      </w:r>
      <w:r>
        <w:rPr>
          <w:color w:val="000000"/>
          <w:sz w:val="24"/>
          <w:szCs w:val="24"/>
        </w:rPr>
        <w:t>c</w:t>
      </w:r>
      <w:r w:rsidR="00AB2A49">
        <w:rPr>
          <w:color w:val="000000"/>
          <w:sz w:val="24"/>
          <w:szCs w:val="24"/>
        </w:rPr>
        <w:t xml:space="preserve">a o Tribunal do Júri, é possível enxergar uma movimentação discreta no sentido da igualdade. O Projeto de Lei nº 1918/2021, de autoria do Senador Flávio Arns, propõe que o corpo de jurados deve ter, a cada mês, um número idêntico de homens e mulheres, e no caso de crime de feminicídio, o Conselho de Sentença deve ser composto majoritariamente pelo sexo feminino. O PL visa alterar os artigos </w:t>
      </w:r>
      <w:r w:rsidR="00AB2A49">
        <w:rPr>
          <w:color w:val="000000"/>
          <w:sz w:val="24"/>
          <w:szCs w:val="24"/>
        </w:rPr>
        <w:lastRenderedPageBreak/>
        <w:t>433 e 447 do Código Processual Penal e, até o momento, permanece em tramitação.</w:t>
      </w:r>
    </w:p>
    <w:p w14:paraId="00000022" w14:textId="77777777" w:rsidR="00BA2725" w:rsidRDefault="00AB2A49" w:rsidP="005F71DB">
      <w:pPr>
        <w:pBdr>
          <w:top w:val="nil"/>
          <w:left w:val="nil"/>
          <w:bottom w:val="nil"/>
          <w:right w:val="nil"/>
          <w:between w:val="nil"/>
        </w:pBdr>
        <w:spacing w:line="360" w:lineRule="auto"/>
        <w:ind w:left="100" w:right="112"/>
        <w:jc w:val="both"/>
        <w:rPr>
          <w:color w:val="000000"/>
          <w:sz w:val="24"/>
          <w:szCs w:val="24"/>
        </w:rPr>
      </w:pPr>
      <w:r>
        <w:rPr>
          <w:color w:val="000000"/>
          <w:sz w:val="24"/>
          <w:szCs w:val="24"/>
        </w:rPr>
        <w:t>Fora isso, é possível encontrar na doutrina, ainda que de forma modesta, uma defesa da paridade de gênero no Tribunal do Júri. Cruz, Bedê Júnior e Dezem (2022) defendem essa proposta para o Conselho de Sentença. No mesmo sentido, Stein (2023, p. 19) afirma que,</w:t>
      </w:r>
    </w:p>
    <w:p w14:paraId="00000023" w14:textId="77777777" w:rsidR="00BA2725" w:rsidRDefault="00BA2725" w:rsidP="005F71DB">
      <w:pPr>
        <w:pBdr>
          <w:top w:val="nil"/>
          <w:left w:val="nil"/>
          <w:bottom w:val="nil"/>
          <w:right w:val="nil"/>
          <w:between w:val="nil"/>
        </w:pBdr>
        <w:spacing w:line="360" w:lineRule="auto"/>
        <w:ind w:left="2880" w:right="113"/>
        <w:jc w:val="both"/>
        <w:rPr>
          <w:color w:val="000000"/>
          <w:sz w:val="24"/>
          <w:szCs w:val="24"/>
        </w:rPr>
      </w:pPr>
    </w:p>
    <w:p w14:paraId="00000024" w14:textId="77777777" w:rsidR="00BA2725" w:rsidRDefault="00AB2A49" w:rsidP="005F71DB">
      <w:pPr>
        <w:pBdr>
          <w:top w:val="nil"/>
          <w:left w:val="nil"/>
          <w:bottom w:val="nil"/>
          <w:right w:val="nil"/>
          <w:between w:val="nil"/>
        </w:pBdr>
        <w:spacing w:line="360" w:lineRule="auto"/>
        <w:ind w:left="2160" w:right="113"/>
        <w:jc w:val="both"/>
        <w:rPr>
          <w:color w:val="000000"/>
        </w:rPr>
      </w:pPr>
      <w:r>
        <w:rPr>
          <w:color w:val="000000"/>
        </w:rPr>
        <w:t>tendo em vista que a justificativa de berço do Tribunal do Júri é permitir um julgamento por seus pares, a lista de seleção deveria pautar-se por um equilíbrio representativo de todas as partes de um corpo social.</w:t>
      </w:r>
    </w:p>
    <w:p w14:paraId="00000025" w14:textId="77777777" w:rsidR="00BA2725" w:rsidRDefault="00AB2A49" w:rsidP="005F71DB">
      <w:pPr>
        <w:pBdr>
          <w:top w:val="nil"/>
          <w:left w:val="nil"/>
          <w:bottom w:val="nil"/>
          <w:right w:val="nil"/>
          <w:between w:val="nil"/>
        </w:pBdr>
        <w:spacing w:before="180" w:line="360" w:lineRule="auto"/>
        <w:ind w:left="100"/>
        <w:jc w:val="both"/>
        <w:rPr>
          <w:color w:val="000000"/>
          <w:sz w:val="24"/>
          <w:szCs w:val="24"/>
        </w:rPr>
      </w:pPr>
      <w:r>
        <w:rPr>
          <w:color w:val="000000"/>
          <w:sz w:val="24"/>
          <w:szCs w:val="24"/>
        </w:rPr>
        <w:t>Já Souza (2013, p.14), afirma que</w:t>
      </w:r>
    </w:p>
    <w:p w14:paraId="00000026" w14:textId="77777777" w:rsidR="00BA2725" w:rsidRDefault="00BA2725" w:rsidP="005F71DB">
      <w:pPr>
        <w:pBdr>
          <w:top w:val="nil"/>
          <w:left w:val="nil"/>
          <w:bottom w:val="nil"/>
          <w:right w:val="nil"/>
          <w:between w:val="nil"/>
        </w:pBdr>
        <w:spacing w:before="180" w:line="360" w:lineRule="auto"/>
        <w:ind w:left="100"/>
        <w:jc w:val="both"/>
        <w:rPr>
          <w:color w:val="000000"/>
          <w:sz w:val="24"/>
          <w:szCs w:val="24"/>
        </w:rPr>
      </w:pPr>
    </w:p>
    <w:p w14:paraId="00000027" w14:textId="77777777" w:rsidR="00BA2725" w:rsidRDefault="00AB2A49" w:rsidP="005F71DB">
      <w:pPr>
        <w:pBdr>
          <w:top w:val="nil"/>
          <w:left w:val="nil"/>
          <w:bottom w:val="nil"/>
          <w:right w:val="nil"/>
          <w:between w:val="nil"/>
        </w:pBdr>
        <w:spacing w:before="41" w:line="360" w:lineRule="auto"/>
        <w:ind w:left="2160" w:right="119"/>
        <w:jc w:val="both"/>
        <w:rPr>
          <w:color w:val="000000"/>
        </w:rPr>
      </w:pPr>
      <w:r>
        <w:rPr>
          <w:color w:val="000000"/>
        </w:rPr>
        <w:t>apesar da abertura do campo ter consistido em um passo legislativo decisivo, no sistema de justiça estudado ainda levou um bom tempo para acontecer a inclusão feminina no Conselho de Sentença devido ao preconceito ou visão de autoridades responsáveis pelo alistamento.</w:t>
      </w:r>
    </w:p>
    <w:p w14:paraId="00000028" w14:textId="77777777" w:rsidR="00BA2725" w:rsidRDefault="00BA2725" w:rsidP="005F71DB">
      <w:pPr>
        <w:pBdr>
          <w:top w:val="nil"/>
          <w:left w:val="nil"/>
          <w:bottom w:val="nil"/>
          <w:right w:val="nil"/>
          <w:between w:val="nil"/>
        </w:pBdr>
        <w:spacing w:line="360" w:lineRule="auto"/>
        <w:ind w:left="100" w:right="117"/>
        <w:jc w:val="both"/>
        <w:rPr>
          <w:color w:val="000000"/>
          <w:sz w:val="24"/>
          <w:szCs w:val="24"/>
        </w:rPr>
      </w:pPr>
    </w:p>
    <w:p w14:paraId="00000029" w14:textId="52089EB4" w:rsidR="00BA2725" w:rsidRDefault="00AB2A49" w:rsidP="005F71DB">
      <w:pPr>
        <w:pBdr>
          <w:top w:val="nil"/>
          <w:left w:val="nil"/>
          <w:bottom w:val="nil"/>
          <w:right w:val="nil"/>
          <w:between w:val="nil"/>
        </w:pBdr>
        <w:spacing w:line="360" w:lineRule="auto"/>
        <w:ind w:left="100" w:right="117"/>
        <w:jc w:val="both"/>
        <w:rPr>
          <w:color w:val="000000"/>
          <w:sz w:val="24"/>
          <w:szCs w:val="24"/>
        </w:rPr>
      </w:pPr>
      <w:r>
        <w:rPr>
          <w:color w:val="000000"/>
          <w:sz w:val="24"/>
          <w:szCs w:val="24"/>
        </w:rPr>
        <w:t xml:space="preserve">De fato, essas reflexões, especialmente no contexto do Tribunal do Júri, podem se apoiar nas experiências dos minipúblicos, que têm se expandido nos últimos anos, embora ainda sejam pouco conhecidos </w:t>
      </w:r>
      <w:r w:rsidR="00681432">
        <w:rPr>
          <w:color w:val="000000"/>
          <w:sz w:val="24"/>
          <w:szCs w:val="24"/>
        </w:rPr>
        <w:t>nacionalmente</w:t>
      </w:r>
      <w:r>
        <w:rPr>
          <w:color w:val="000000"/>
          <w:sz w:val="24"/>
          <w:szCs w:val="24"/>
        </w:rPr>
        <w:t>.</w:t>
      </w:r>
    </w:p>
    <w:p w14:paraId="6A8F376C" w14:textId="77777777" w:rsidR="005F71DB" w:rsidRDefault="005F71DB" w:rsidP="005F71DB">
      <w:pPr>
        <w:pBdr>
          <w:top w:val="nil"/>
          <w:left w:val="nil"/>
          <w:bottom w:val="nil"/>
          <w:right w:val="nil"/>
          <w:between w:val="nil"/>
        </w:pBdr>
        <w:spacing w:line="360" w:lineRule="auto"/>
        <w:ind w:left="100" w:right="117"/>
        <w:jc w:val="both"/>
        <w:rPr>
          <w:color w:val="000000"/>
          <w:sz w:val="24"/>
          <w:szCs w:val="24"/>
        </w:rPr>
      </w:pPr>
    </w:p>
    <w:p w14:paraId="0000002B" w14:textId="77777777" w:rsidR="00BA2725" w:rsidRDefault="00AB2A49" w:rsidP="005F71DB">
      <w:pPr>
        <w:pStyle w:val="Heading1"/>
        <w:spacing w:line="360" w:lineRule="auto"/>
      </w:pPr>
      <w:r>
        <w:t>CONCLUSÕES</w:t>
      </w:r>
    </w:p>
    <w:p w14:paraId="6028A17D" w14:textId="77777777" w:rsidR="005F71DB" w:rsidRPr="005F71DB" w:rsidRDefault="005F71DB" w:rsidP="005F71DB">
      <w:pPr>
        <w:spacing w:line="360" w:lineRule="auto"/>
      </w:pPr>
    </w:p>
    <w:p w14:paraId="0000002C" w14:textId="77777777" w:rsidR="00BA2725" w:rsidRDefault="00AB2A49" w:rsidP="005F71DB">
      <w:pPr>
        <w:pBdr>
          <w:top w:val="nil"/>
          <w:left w:val="nil"/>
          <w:bottom w:val="nil"/>
          <w:right w:val="nil"/>
          <w:between w:val="nil"/>
        </w:pBdr>
        <w:spacing w:before="42" w:line="360" w:lineRule="auto"/>
        <w:ind w:left="100" w:right="112"/>
        <w:jc w:val="both"/>
        <w:rPr>
          <w:color w:val="000000"/>
          <w:sz w:val="24"/>
          <w:szCs w:val="24"/>
        </w:rPr>
      </w:pPr>
      <w:r>
        <w:rPr>
          <w:color w:val="000000"/>
          <w:sz w:val="24"/>
          <w:szCs w:val="24"/>
        </w:rPr>
        <w:t>A constante busca pela paridade de gênero no Sistema de Justiça Brasileiro é um reflexo do avanço em prol da igualdade entre homens e mulheres, especialmente no que tange à representatividade nos órgãos públicos e institucionais. No entanto, como foi possível perceber, o Tribunal do Júri ainda carece de medidas eficazes que garantam essa paridade em seu Conselho de Sentença, ao contrário dos minipúblicos, que vêm sendo utilizados na esfera política, reivindicando uma legitimidade sociológica na seleção dos cidadãos que são escolhidos para tomar uma decisão.</w:t>
      </w:r>
    </w:p>
    <w:p w14:paraId="0000002D" w14:textId="13DF436A" w:rsidR="00BA2725" w:rsidRDefault="00AB2A49" w:rsidP="005F71DB">
      <w:pPr>
        <w:pBdr>
          <w:top w:val="nil"/>
          <w:left w:val="nil"/>
          <w:bottom w:val="nil"/>
          <w:right w:val="nil"/>
          <w:between w:val="nil"/>
        </w:pBdr>
        <w:spacing w:line="360" w:lineRule="auto"/>
        <w:ind w:left="100" w:right="116"/>
        <w:jc w:val="both"/>
        <w:rPr>
          <w:color w:val="000000"/>
          <w:sz w:val="24"/>
          <w:szCs w:val="24"/>
        </w:rPr>
        <w:sectPr w:rsidR="00BA2725" w:rsidSect="005F71DB">
          <w:pgSz w:w="11920" w:h="16840"/>
          <w:pgMar w:top="1701" w:right="1134" w:bottom="1134" w:left="1701" w:header="720" w:footer="720" w:gutter="0"/>
          <w:cols w:space="720"/>
        </w:sectPr>
      </w:pPr>
      <w:r>
        <w:rPr>
          <w:color w:val="000000"/>
          <w:sz w:val="24"/>
          <w:szCs w:val="24"/>
        </w:rPr>
        <w:t xml:space="preserve">Adotar a paridade de gênero no Conselho de Sentença seria um pequeno passo para que o Tribunal do Júri possa, enfim, cumprir sua premissa de representar a </w:t>
      </w:r>
      <w:r>
        <w:rPr>
          <w:color w:val="000000"/>
          <w:sz w:val="24"/>
          <w:szCs w:val="24"/>
        </w:rPr>
        <w:lastRenderedPageBreak/>
        <w:t>sociedade brasileira. Nesse sentido, o Projeto de Lei nº 1918/2021 representa um possível avanço, evidenciando que há um movimento em curso para assegurar que o júri, uma das bases da justiça, também reflita os valores de igualdade de gênero.</w:t>
      </w:r>
    </w:p>
    <w:p w14:paraId="0000002E" w14:textId="77777777" w:rsidR="00BA2725" w:rsidRDefault="00AB2A49" w:rsidP="005F71DB">
      <w:pPr>
        <w:pStyle w:val="Heading1"/>
        <w:spacing w:before="80" w:line="360" w:lineRule="auto"/>
      </w:pPr>
      <w:r>
        <w:lastRenderedPageBreak/>
        <w:t>REFERÊNCIAS</w:t>
      </w:r>
    </w:p>
    <w:p w14:paraId="42AA1F43" w14:textId="77777777" w:rsidR="005F71DB" w:rsidRPr="005F71DB" w:rsidRDefault="005F71DB" w:rsidP="005F71DB">
      <w:pPr>
        <w:spacing w:line="360" w:lineRule="auto"/>
      </w:pPr>
    </w:p>
    <w:p w14:paraId="0000002F" w14:textId="47652323" w:rsidR="00BA2725" w:rsidRDefault="00AB2A49" w:rsidP="005F71DB">
      <w:pPr>
        <w:pBdr>
          <w:top w:val="nil"/>
          <w:left w:val="nil"/>
          <w:bottom w:val="nil"/>
          <w:right w:val="nil"/>
          <w:between w:val="nil"/>
        </w:pBdr>
        <w:spacing w:before="41" w:line="360" w:lineRule="auto"/>
        <w:ind w:left="100" w:right="166"/>
        <w:jc w:val="both"/>
        <w:rPr>
          <w:color w:val="000000"/>
          <w:sz w:val="24"/>
          <w:szCs w:val="24"/>
        </w:rPr>
      </w:pPr>
      <w:r>
        <w:rPr>
          <w:color w:val="000000"/>
          <w:sz w:val="24"/>
          <w:szCs w:val="24"/>
        </w:rPr>
        <w:t>CRUZ, R.; JUNIOR, A.; DEZEM, G</w:t>
      </w:r>
      <w:r>
        <w:rPr>
          <w:i/>
          <w:color w:val="000000"/>
          <w:sz w:val="24"/>
          <w:szCs w:val="24"/>
        </w:rPr>
        <w:t>. Justiça Criminal</w:t>
      </w:r>
      <w:r>
        <w:rPr>
          <w:color w:val="000000"/>
          <w:sz w:val="24"/>
          <w:szCs w:val="24"/>
        </w:rPr>
        <w:t xml:space="preserve"> - Vol. 1. São Paulo: Editora Revista dos Tribunais, 2022.</w:t>
      </w:r>
    </w:p>
    <w:p w14:paraId="00000030" w14:textId="357F9C8D" w:rsidR="00BA2725" w:rsidRDefault="005F71DB" w:rsidP="005F71DB">
      <w:pPr>
        <w:pBdr>
          <w:top w:val="nil"/>
          <w:left w:val="nil"/>
          <w:bottom w:val="nil"/>
          <w:right w:val="nil"/>
          <w:between w:val="nil"/>
        </w:pBdr>
        <w:tabs>
          <w:tab w:val="left" w:pos="4120"/>
          <w:tab w:val="left" w:pos="8712"/>
        </w:tabs>
        <w:spacing w:before="180" w:line="360" w:lineRule="auto"/>
        <w:ind w:left="100" w:right="122"/>
        <w:jc w:val="both"/>
        <w:rPr>
          <w:color w:val="000000"/>
          <w:sz w:val="24"/>
          <w:szCs w:val="24"/>
        </w:rPr>
      </w:pPr>
      <w:r w:rsidRPr="005F71DB">
        <w:rPr>
          <w:sz w:val="24"/>
          <w:szCs w:val="24"/>
        </w:rPr>
        <w:t xml:space="preserve">MIGALHAS. </w:t>
      </w:r>
      <w:r w:rsidR="00AB2A49" w:rsidRPr="005F71DB">
        <w:rPr>
          <w:sz w:val="24"/>
          <w:szCs w:val="24"/>
        </w:rPr>
        <w:t xml:space="preserve"> </w:t>
      </w:r>
      <w:r>
        <w:rPr>
          <w:color w:val="000000"/>
          <w:sz w:val="24"/>
          <w:szCs w:val="24"/>
        </w:rPr>
        <w:t>I</w:t>
      </w:r>
      <w:r w:rsidR="00AB2A49">
        <w:rPr>
          <w:color w:val="000000"/>
          <w:sz w:val="24"/>
          <w:szCs w:val="24"/>
        </w:rPr>
        <w:t>AB rejeita paridade de gênero em júri de crime de feminicídio; São Paulo: Migalhas, 2023</w:t>
      </w:r>
    </w:p>
    <w:p w14:paraId="00000031" w14:textId="77777777" w:rsidR="00BA2725" w:rsidRDefault="00AB2A49" w:rsidP="005F71DB">
      <w:pPr>
        <w:pBdr>
          <w:top w:val="nil"/>
          <w:left w:val="nil"/>
          <w:bottom w:val="nil"/>
          <w:right w:val="nil"/>
          <w:between w:val="nil"/>
        </w:pBdr>
        <w:tabs>
          <w:tab w:val="left" w:pos="1465"/>
          <w:tab w:val="left" w:pos="2295"/>
          <w:tab w:val="left" w:pos="2845"/>
          <w:tab w:val="left" w:pos="4009"/>
          <w:tab w:val="left" w:pos="4812"/>
          <w:tab w:val="left" w:pos="6363"/>
          <w:tab w:val="left" w:pos="7820"/>
          <w:tab w:val="left" w:pos="8931"/>
        </w:tabs>
        <w:spacing w:before="180" w:line="360" w:lineRule="auto"/>
        <w:ind w:left="100" w:right="119"/>
        <w:jc w:val="both"/>
        <w:rPr>
          <w:color w:val="000000"/>
          <w:sz w:val="24"/>
          <w:szCs w:val="24"/>
        </w:rPr>
      </w:pPr>
      <w:r w:rsidRPr="00AB2A49">
        <w:rPr>
          <w:color w:val="000000"/>
          <w:sz w:val="24"/>
          <w:szCs w:val="24"/>
          <w:lang w:val="en-US"/>
        </w:rPr>
        <w:t>FARRELL,</w:t>
      </w:r>
      <w:r w:rsidRPr="00AB2A49">
        <w:rPr>
          <w:color w:val="000000"/>
          <w:sz w:val="24"/>
          <w:szCs w:val="24"/>
          <w:lang w:val="en-US"/>
        </w:rPr>
        <w:tab/>
        <w:t>D. M.;</w:t>
      </w:r>
      <w:r w:rsidRPr="00AB2A49">
        <w:rPr>
          <w:color w:val="000000"/>
          <w:sz w:val="24"/>
          <w:szCs w:val="24"/>
          <w:lang w:val="en-US"/>
        </w:rPr>
        <w:tab/>
        <w:t>SUITER,</w:t>
      </w:r>
      <w:r w:rsidRPr="00AB2A49">
        <w:rPr>
          <w:color w:val="000000"/>
          <w:sz w:val="24"/>
          <w:szCs w:val="24"/>
          <w:lang w:val="en-US"/>
        </w:rPr>
        <w:tab/>
        <w:t>J.</w:t>
      </w:r>
      <w:r w:rsidRPr="00AB2A49">
        <w:rPr>
          <w:color w:val="000000"/>
          <w:sz w:val="24"/>
          <w:szCs w:val="24"/>
          <w:lang w:val="en-US"/>
        </w:rPr>
        <w:tab/>
        <w:t>Reimagining</w:t>
      </w:r>
      <w:r w:rsidRPr="00AB2A49">
        <w:rPr>
          <w:color w:val="000000"/>
          <w:sz w:val="24"/>
          <w:szCs w:val="24"/>
          <w:lang w:val="en-US"/>
        </w:rPr>
        <w:tab/>
        <w:t>democracy:</w:t>
      </w:r>
      <w:r w:rsidRPr="00AB2A49">
        <w:rPr>
          <w:color w:val="000000"/>
          <w:sz w:val="24"/>
          <w:szCs w:val="24"/>
          <w:lang w:val="en-US"/>
        </w:rPr>
        <w:tab/>
        <w:t>Lessons</w:t>
      </w:r>
      <w:r w:rsidRPr="00AB2A49">
        <w:rPr>
          <w:color w:val="000000"/>
          <w:sz w:val="24"/>
          <w:szCs w:val="24"/>
          <w:lang w:val="en-US"/>
        </w:rPr>
        <w:tab/>
        <w:t xml:space="preserve">in deliberative democracy from the Irish front line. </w:t>
      </w:r>
      <w:r>
        <w:rPr>
          <w:i/>
          <w:color w:val="000000"/>
          <w:sz w:val="24"/>
          <w:szCs w:val="24"/>
        </w:rPr>
        <w:t>Cornell Selects</w:t>
      </w:r>
      <w:r>
        <w:rPr>
          <w:color w:val="000000"/>
          <w:sz w:val="24"/>
          <w:szCs w:val="24"/>
        </w:rPr>
        <w:t>, 2019.</w:t>
      </w:r>
    </w:p>
    <w:p w14:paraId="00000032" w14:textId="212BF028" w:rsidR="00BA2725" w:rsidRPr="00AB2A49" w:rsidRDefault="00AB2A49" w:rsidP="005F71DB">
      <w:pPr>
        <w:pBdr>
          <w:top w:val="nil"/>
          <w:left w:val="nil"/>
          <w:bottom w:val="nil"/>
          <w:right w:val="nil"/>
          <w:between w:val="nil"/>
        </w:pBdr>
        <w:tabs>
          <w:tab w:val="left" w:pos="1471"/>
          <w:tab w:val="left" w:pos="2056"/>
          <w:tab w:val="left" w:pos="2601"/>
          <w:tab w:val="left" w:pos="3062"/>
          <w:tab w:val="left" w:pos="3687"/>
          <w:tab w:val="left" w:pos="4179"/>
          <w:tab w:val="left" w:pos="4938"/>
          <w:tab w:val="left" w:pos="5430"/>
          <w:tab w:val="left" w:pos="6440"/>
          <w:tab w:val="left" w:pos="7318"/>
          <w:tab w:val="left" w:pos="8715"/>
        </w:tabs>
        <w:spacing w:before="180" w:line="360" w:lineRule="auto"/>
        <w:ind w:left="100" w:right="112"/>
        <w:jc w:val="both"/>
        <w:rPr>
          <w:color w:val="000000"/>
          <w:sz w:val="24"/>
          <w:szCs w:val="24"/>
          <w:lang w:val="en-US"/>
        </w:rPr>
      </w:pPr>
      <w:r>
        <w:rPr>
          <w:color w:val="000000"/>
          <w:sz w:val="24"/>
          <w:szCs w:val="24"/>
        </w:rPr>
        <w:t xml:space="preserve">FILIPPON STEIN, M. A. C. Tribunal do júri: reflexões necessárias. </w:t>
      </w:r>
      <w:r w:rsidRPr="00AB2A49">
        <w:rPr>
          <w:i/>
          <w:color w:val="000000"/>
          <w:sz w:val="24"/>
          <w:szCs w:val="24"/>
          <w:lang w:val="en-US"/>
        </w:rPr>
        <w:t>Boletim IBCCRIM</w:t>
      </w:r>
      <w:r w:rsidRPr="00AB2A49">
        <w:rPr>
          <w:color w:val="000000"/>
          <w:sz w:val="24"/>
          <w:szCs w:val="24"/>
          <w:lang w:val="en-US"/>
        </w:rPr>
        <w:t>,</w:t>
      </w:r>
      <w:r w:rsidR="005F71DB">
        <w:rPr>
          <w:color w:val="000000"/>
          <w:sz w:val="24"/>
          <w:szCs w:val="24"/>
          <w:lang w:val="en-US"/>
        </w:rPr>
        <w:t xml:space="preserve"> </w:t>
      </w:r>
      <w:r w:rsidRPr="00AB2A49">
        <w:rPr>
          <w:i/>
          <w:color w:val="000000"/>
          <w:sz w:val="24"/>
          <w:szCs w:val="24"/>
          <w:lang w:val="en-US"/>
        </w:rPr>
        <w:t>[S.</w:t>
      </w:r>
      <w:r w:rsidRPr="00AB2A49">
        <w:rPr>
          <w:i/>
          <w:color w:val="000000"/>
          <w:sz w:val="24"/>
          <w:szCs w:val="24"/>
          <w:lang w:val="en-US"/>
        </w:rPr>
        <w:tab/>
        <w:t>l.]</w:t>
      </w:r>
      <w:r w:rsidRPr="00AB2A49">
        <w:rPr>
          <w:color w:val="000000"/>
          <w:sz w:val="24"/>
          <w:szCs w:val="24"/>
          <w:lang w:val="en-US"/>
        </w:rPr>
        <w:t>,</w:t>
      </w:r>
      <w:r w:rsidRPr="00AB2A49">
        <w:rPr>
          <w:color w:val="000000"/>
          <w:sz w:val="24"/>
          <w:szCs w:val="24"/>
          <w:lang w:val="en-US"/>
        </w:rPr>
        <w:tab/>
        <w:t>v.</w:t>
      </w:r>
      <w:r w:rsidRPr="00AB2A49">
        <w:rPr>
          <w:color w:val="000000"/>
          <w:sz w:val="24"/>
          <w:szCs w:val="24"/>
          <w:lang w:val="en-US"/>
        </w:rPr>
        <w:tab/>
        <w:t>31,</w:t>
      </w:r>
      <w:r w:rsidRPr="00AB2A49">
        <w:rPr>
          <w:color w:val="000000"/>
          <w:sz w:val="24"/>
          <w:szCs w:val="24"/>
          <w:lang w:val="en-US"/>
        </w:rPr>
        <w:tab/>
        <w:t>n.</w:t>
      </w:r>
      <w:r w:rsidRPr="00AB2A49">
        <w:rPr>
          <w:color w:val="000000"/>
          <w:sz w:val="24"/>
          <w:szCs w:val="24"/>
          <w:lang w:val="en-US"/>
        </w:rPr>
        <w:tab/>
        <w:t>371,</w:t>
      </w:r>
      <w:r w:rsidRPr="00AB2A49">
        <w:rPr>
          <w:color w:val="000000"/>
          <w:sz w:val="24"/>
          <w:szCs w:val="24"/>
          <w:lang w:val="en-US"/>
        </w:rPr>
        <w:tab/>
        <w:t>p.</w:t>
      </w:r>
      <w:r w:rsidRPr="00AB2A49">
        <w:rPr>
          <w:color w:val="000000"/>
          <w:sz w:val="24"/>
          <w:szCs w:val="24"/>
          <w:lang w:val="en-US"/>
        </w:rPr>
        <w:tab/>
        <w:t>18–21,</w:t>
      </w:r>
      <w:r w:rsidRPr="00AB2A49">
        <w:rPr>
          <w:color w:val="000000"/>
          <w:sz w:val="24"/>
          <w:szCs w:val="24"/>
          <w:lang w:val="en-US"/>
        </w:rPr>
        <w:tab/>
        <w:t>2023.</w:t>
      </w:r>
    </w:p>
    <w:p w14:paraId="00000033" w14:textId="77777777" w:rsidR="00BA2725" w:rsidRPr="00AB2A49" w:rsidRDefault="00AB2A49" w:rsidP="005F71DB">
      <w:pPr>
        <w:pBdr>
          <w:top w:val="nil"/>
          <w:left w:val="nil"/>
          <w:bottom w:val="nil"/>
          <w:right w:val="nil"/>
          <w:between w:val="nil"/>
        </w:pBdr>
        <w:spacing w:before="221" w:line="360" w:lineRule="auto"/>
        <w:ind w:left="100"/>
        <w:jc w:val="both"/>
        <w:rPr>
          <w:color w:val="000000"/>
          <w:sz w:val="24"/>
          <w:szCs w:val="24"/>
          <w:lang w:val="en-US"/>
        </w:rPr>
      </w:pPr>
      <w:r w:rsidRPr="00AB2A49">
        <w:rPr>
          <w:color w:val="000000"/>
          <w:sz w:val="24"/>
          <w:szCs w:val="24"/>
          <w:lang w:val="en-US"/>
        </w:rPr>
        <w:t xml:space="preserve">FISHKIN, J. </w:t>
      </w:r>
      <w:r w:rsidRPr="00AB2A49">
        <w:rPr>
          <w:i/>
          <w:color w:val="000000"/>
          <w:sz w:val="24"/>
          <w:szCs w:val="24"/>
          <w:lang w:val="en-US"/>
        </w:rPr>
        <w:t>Democracy and Deliberation. New Directions for Democratic Reform</w:t>
      </w:r>
      <w:r w:rsidRPr="00AB2A49">
        <w:rPr>
          <w:color w:val="000000"/>
          <w:sz w:val="24"/>
          <w:szCs w:val="24"/>
          <w:lang w:val="en-US"/>
        </w:rPr>
        <w:t>. New Haven: Yale University Press, 1991.</w:t>
      </w:r>
    </w:p>
    <w:p w14:paraId="00000034" w14:textId="77777777" w:rsidR="00BA2725" w:rsidRDefault="00AB2A49" w:rsidP="005F71DB">
      <w:pPr>
        <w:pBdr>
          <w:top w:val="nil"/>
          <w:left w:val="nil"/>
          <w:bottom w:val="nil"/>
          <w:right w:val="nil"/>
          <w:between w:val="nil"/>
        </w:pBdr>
        <w:spacing w:before="180" w:line="360" w:lineRule="auto"/>
        <w:ind w:left="100" w:right="115"/>
        <w:jc w:val="both"/>
        <w:rPr>
          <w:color w:val="000000"/>
          <w:sz w:val="24"/>
          <w:szCs w:val="24"/>
        </w:rPr>
      </w:pPr>
      <w:r w:rsidRPr="00AB2A49">
        <w:rPr>
          <w:color w:val="000000"/>
          <w:sz w:val="24"/>
          <w:szCs w:val="24"/>
          <w:lang w:val="en-US"/>
        </w:rPr>
        <w:t xml:space="preserve">GIRAUDET, L. G. et al. “Co-construction” in deliberative democracy: lessons from the French Citizens’ Convention for Climate. </w:t>
      </w:r>
      <w:r>
        <w:rPr>
          <w:i/>
          <w:color w:val="000000"/>
          <w:sz w:val="24"/>
          <w:szCs w:val="24"/>
        </w:rPr>
        <w:t>Humanities and Social Sciences Communications</w:t>
      </w:r>
      <w:r>
        <w:rPr>
          <w:color w:val="000000"/>
          <w:sz w:val="24"/>
          <w:szCs w:val="24"/>
        </w:rPr>
        <w:t>, v. 9, n. 1, p. 1-16, 2022.</w:t>
      </w:r>
    </w:p>
    <w:p w14:paraId="00000035" w14:textId="77777777" w:rsidR="00BA2725" w:rsidRDefault="00AB2A49" w:rsidP="005F71DB">
      <w:pPr>
        <w:pBdr>
          <w:top w:val="nil"/>
          <w:left w:val="nil"/>
          <w:bottom w:val="nil"/>
          <w:right w:val="nil"/>
          <w:between w:val="nil"/>
        </w:pBdr>
        <w:tabs>
          <w:tab w:val="left" w:pos="3126"/>
          <w:tab w:val="left" w:pos="5632"/>
          <w:tab w:val="left" w:pos="8724"/>
        </w:tabs>
        <w:spacing w:before="180" w:line="360" w:lineRule="auto"/>
        <w:ind w:left="100" w:right="113"/>
        <w:jc w:val="both"/>
        <w:rPr>
          <w:color w:val="000000"/>
          <w:sz w:val="24"/>
          <w:szCs w:val="24"/>
        </w:rPr>
      </w:pPr>
      <w:r>
        <w:rPr>
          <w:color w:val="000000"/>
          <w:sz w:val="24"/>
          <w:szCs w:val="24"/>
        </w:rPr>
        <w:t xml:space="preserve">KHADER, E. </w:t>
      </w:r>
      <w:r>
        <w:rPr>
          <w:i/>
          <w:color w:val="000000"/>
          <w:sz w:val="24"/>
          <w:szCs w:val="24"/>
        </w:rPr>
        <w:t>História do tribunal do júri</w:t>
      </w:r>
      <w:r>
        <w:rPr>
          <w:color w:val="000000"/>
          <w:sz w:val="24"/>
          <w:szCs w:val="24"/>
        </w:rPr>
        <w:t>: a origem e a evolução no sistema penal brasileiro. Rio de J</w:t>
      </w:r>
      <w:r>
        <w:rPr>
          <w:sz w:val="24"/>
          <w:szCs w:val="24"/>
        </w:rPr>
        <w:t>aneiro</w:t>
      </w:r>
      <w:r>
        <w:rPr>
          <w:color w:val="000000"/>
          <w:sz w:val="24"/>
          <w:szCs w:val="24"/>
        </w:rPr>
        <w:t>,</w:t>
      </w:r>
      <w:r>
        <w:rPr>
          <w:color w:val="000000"/>
          <w:sz w:val="24"/>
          <w:szCs w:val="24"/>
        </w:rPr>
        <w:tab/>
        <w:t>2016.</w:t>
      </w:r>
    </w:p>
    <w:p w14:paraId="00000036" w14:textId="412BA7F2" w:rsidR="00BA2725" w:rsidRDefault="00AB2A49" w:rsidP="005F71DB">
      <w:pPr>
        <w:pBdr>
          <w:top w:val="nil"/>
          <w:left w:val="nil"/>
          <w:bottom w:val="nil"/>
          <w:right w:val="nil"/>
          <w:between w:val="nil"/>
        </w:pBdr>
        <w:tabs>
          <w:tab w:val="left" w:pos="2220"/>
          <w:tab w:val="left" w:pos="3845"/>
          <w:tab w:val="left" w:pos="6231"/>
          <w:tab w:val="left" w:pos="8723"/>
        </w:tabs>
        <w:spacing w:before="221" w:line="360" w:lineRule="auto"/>
        <w:ind w:left="100" w:right="113"/>
        <w:jc w:val="both"/>
        <w:rPr>
          <w:sz w:val="24"/>
          <w:szCs w:val="24"/>
        </w:rPr>
      </w:pPr>
      <w:r>
        <w:rPr>
          <w:color w:val="000000"/>
          <w:sz w:val="24"/>
          <w:szCs w:val="24"/>
        </w:rPr>
        <w:t>LOBO, T. M. C. Paridade de gênero nos tribunais agrega diferentes visões de mundo</w:t>
      </w:r>
      <w:r w:rsidR="005F71DB">
        <w:rPr>
          <w:color w:val="000000"/>
          <w:sz w:val="24"/>
          <w:szCs w:val="24"/>
        </w:rPr>
        <w:t xml:space="preserve"> </w:t>
      </w:r>
      <w:r>
        <w:rPr>
          <w:color w:val="000000"/>
          <w:sz w:val="24"/>
          <w:szCs w:val="24"/>
        </w:rPr>
        <w:t>às</w:t>
      </w:r>
      <w:r w:rsidR="005F71DB">
        <w:rPr>
          <w:color w:val="000000"/>
          <w:sz w:val="24"/>
          <w:szCs w:val="24"/>
        </w:rPr>
        <w:t xml:space="preserve"> </w:t>
      </w:r>
      <w:r>
        <w:rPr>
          <w:color w:val="000000"/>
          <w:sz w:val="24"/>
          <w:szCs w:val="24"/>
        </w:rPr>
        <w:t>decisões.</w:t>
      </w:r>
      <w:r>
        <w:rPr>
          <w:sz w:val="24"/>
          <w:szCs w:val="24"/>
        </w:rPr>
        <w:t xml:space="preserve"> Brasília, 2024.</w:t>
      </w:r>
    </w:p>
    <w:p w14:paraId="00000037" w14:textId="0E01C31F" w:rsidR="00BA2725" w:rsidRDefault="00AB2A49" w:rsidP="005F71DB">
      <w:pPr>
        <w:pBdr>
          <w:top w:val="nil"/>
          <w:left w:val="nil"/>
          <w:bottom w:val="nil"/>
          <w:right w:val="nil"/>
          <w:between w:val="nil"/>
        </w:pBdr>
        <w:spacing w:before="180" w:line="360" w:lineRule="auto"/>
        <w:ind w:left="100"/>
        <w:jc w:val="both"/>
        <w:rPr>
          <w:color w:val="000000"/>
          <w:sz w:val="24"/>
          <w:szCs w:val="24"/>
        </w:rPr>
      </w:pPr>
      <w:r>
        <w:rPr>
          <w:color w:val="000000"/>
          <w:sz w:val="24"/>
          <w:szCs w:val="24"/>
        </w:rPr>
        <w:t>CNJ. Relatório da participação feminina na magistratura, 2023.</w:t>
      </w:r>
    </w:p>
    <w:p w14:paraId="00000038" w14:textId="5D79B92C" w:rsidR="00BA2725" w:rsidRPr="005F71DB" w:rsidRDefault="00AB2A49" w:rsidP="005F71DB">
      <w:pPr>
        <w:pBdr>
          <w:top w:val="nil"/>
          <w:left w:val="nil"/>
          <w:bottom w:val="nil"/>
          <w:right w:val="nil"/>
          <w:between w:val="nil"/>
        </w:pBdr>
        <w:tabs>
          <w:tab w:val="left" w:pos="1775"/>
          <w:tab w:val="left" w:pos="2636"/>
          <w:tab w:val="left" w:pos="4285"/>
          <w:tab w:val="left" w:pos="5814"/>
          <w:tab w:val="left" w:pos="6969"/>
          <w:tab w:val="left" w:pos="8712"/>
        </w:tabs>
        <w:spacing w:before="180" w:line="360" w:lineRule="auto"/>
        <w:ind w:left="100"/>
        <w:jc w:val="both"/>
        <w:rPr>
          <w:sz w:val="24"/>
          <w:szCs w:val="24"/>
        </w:rPr>
      </w:pPr>
      <w:r w:rsidRPr="005F71DB">
        <w:rPr>
          <w:sz w:val="24"/>
          <w:szCs w:val="24"/>
        </w:rPr>
        <w:t>C</w:t>
      </w:r>
      <w:r w:rsidR="005F71DB">
        <w:rPr>
          <w:sz w:val="24"/>
          <w:szCs w:val="24"/>
        </w:rPr>
        <w:t xml:space="preserve">ONJUR. </w:t>
      </w:r>
      <w:r w:rsidRPr="005F71DB">
        <w:rPr>
          <w:sz w:val="24"/>
          <w:szCs w:val="24"/>
        </w:rPr>
        <w:t>Combate ao crime deve ser justo para todos, diz Ribeiro Dantas. São Paulo, 2023.</w:t>
      </w:r>
    </w:p>
    <w:p w14:paraId="00000039" w14:textId="306FC28A" w:rsidR="00BA2725" w:rsidRDefault="00AB2A49" w:rsidP="005F71DB">
      <w:pPr>
        <w:pBdr>
          <w:top w:val="nil"/>
          <w:left w:val="nil"/>
          <w:bottom w:val="nil"/>
          <w:right w:val="nil"/>
          <w:between w:val="nil"/>
        </w:pBdr>
        <w:spacing w:before="180" w:line="360" w:lineRule="auto"/>
        <w:ind w:left="100" w:right="117"/>
        <w:jc w:val="both"/>
        <w:rPr>
          <w:color w:val="000000"/>
          <w:sz w:val="24"/>
          <w:szCs w:val="24"/>
        </w:rPr>
      </w:pPr>
      <w:r>
        <w:rPr>
          <w:color w:val="000000"/>
          <w:sz w:val="24"/>
          <w:szCs w:val="24"/>
        </w:rPr>
        <w:t xml:space="preserve">RUBIÃO, A. O sorteio na política: como os minipúblicos vêm transformando a democracia. </w:t>
      </w:r>
      <w:r w:rsidRPr="00AB2A49">
        <w:rPr>
          <w:i/>
          <w:color w:val="000000"/>
          <w:sz w:val="24"/>
          <w:szCs w:val="24"/>
        </w:rPr>
        <w:t>OPINIÃO PÚBLICA</w:t>
      </w:r>
      <w:r>
        <w:rPr>
          <w:color w:val="000000"/>
          <w:sz w:val="24"/>
          <w:szCs w:val="24"/>
        </w:rPr>
        <w:t>, Campinas, vol. 24, no 3, set.-dez., p. 699-723, 2018.</w:t>
      </w:r>
    </w:p>
    <w:p w14:paraId="0000003A" w14:textId="4A86E739" w:rsidR="00BA2725" w:rsidRDefault="00AB2A49" w:rsidP="005F71DB">
      <w:pPr>
        <w:pBdr>
          <w:top w:val="nil"/>
          <w:left w:val="nil"/>
          <w:bottom w:val="nil"/>
          <w:right w:val="nil"/>
          <w:between w:val="nil"/>
        </w:pBdr>
        <w:spacing w:before="180" w:line="360" w:lineRule="auto"/>
        <w:ind w:left="100" w:right="117"/>
        <w:jc w:val="both"/>
        <w:rPr>
          <w:color w:val="000000"/>
          <w:sz w:val="24"/>
          <w:szCs w:val="24"/>
        </w:rPr>
      </w:pPr>
      <w:r>
        <w:rPr>
          <w:color w:val="000000"/>
          <w:sz w:val="24"/>
          <w:szCs w:val="24"/>
        </w:rPr>
        <w:t xml:space="preserve">RUBIÃO, A. O Uso do Sorteio para a Escolha de Candidatos: uma análise das experiências do PASOK (Grécia) e do MORENA (México). </w:t>
      </w:r>
      <w:r>
        <w:rPr>
          <w:i/>
          <w:color w:val="000000"/>
          <w:sz w:val="24"/>
          <w:szCs w:val="24"/>
        </w:rPr>
        <w:t>Revista Sul-Americana de Ciência Política</w:t>
      </w:r>
      <w:r>
        <w:rPr>
          <w:color w:val="000000"/>
          <w:sz w:val="24"/>
          <w:szCs w:val="24"/>
        </w:rPr>
        <w:t>, v. 7, n. 1, p. 1-17, 2021.</w:t>
      </w:r>
    </w:p>
    <w:p w14:paraId="0000003B" w14:textId="1F0B19F4" w:rsidR="00BA2725" w:rsidRDefault="00AB2A49" w:rsidP="005F71DB">
      <w:pPr>
        <w:pBdr>
          <w:top w:val="nil"/>
          <w:left w:val="nil"/>
          <w:bottom w:val="nil"/>
          <w:right w:val="nil"/>
          <w:between w:val="nil"/>
        </w:pBdr>
        <w:tabs>
          <w:tab w:val="left" w:pos="3108"/>
          <w:tab w:val="left" w:pos="5650"/>
          <w:tab w:val="left" w:pos="8713"/>
        </w:tabs>
        <w:spacing w:before="180" w:line="360" w:lineRule="auto"/>
        <w:ind w:left="100" w:right="122"/>
        <w:jc w:val="both"/>
        <w:rPr>
          <w:color w:val="FF0000"/>
          <w:sz w:val="24"/>
          <w:szCs w:val="24"/>
        </w:rPr>
      </w:pPr>
      <w:r>
        <w:rPr>
          <w:color w:val="000000"/>
          <w:sz w:val="24"/>
          <w:szCs w:val="24"/>
        </w:rPr>
        <w:t>SOUZA, T. H. M. Seleção dos jurados no tribunal do júri segundo o Direito Brasileiro</w:t>
      </w:r>
      <w:r>
        <w:rPr>
          <w:sz w:val="24"/>
          <w:szCs w:val="24"/>
        </w:rPr>
        <w:t xml:space="preserve">. </w:t>
      </w:r>
      <w:r w:rsidRPr="00AB2A49">
        <w:rPr>
          <w:sz w:val="24"/>
          <w:szCs w:val="24"/>
        </w:rPr>
        <w:t>Dissertação de Mestrado. Pontifícia Universidade Católica do Rio Grande do Sul</w:t>
      </w:r>
      <w:r>
        <w:rPr>
          <w:sz w:val="24"/>
          <w:szCs w:val="24"/>
        </w:rPr>
        <w:t xml:space="preserve">. Porto Alegre, </w:t>
      </w:r>
      <w:r>
        <w:rPr>
          <w:color w:val="000000"/>
          <w:sz w:val="24"/>
          <w:szCs w:val="24"/>
        </w:rPr>
        <w:t>2013.</w:t>
      </w:r>
    </w:p>
    <w:p w14:paraId="0000003C" w14:textId="77777777" w:rsidR="00BA2725" w:rsidRDefault="00AB2A49" w:rsidP="005F71DB">
      <w:pPr>
        <w:pStyle w:val="Heading1"/>
        <w:spacing w:before="180" w:line="360" w:lineRule="auto"/>
      </w:pPr>
      <w:r>
        <w:lastRenderedPageBreak/>
        <w:t>FOMENTO</w:t>
      </w:r>
    </w:p>
    <w:p w14:paraId="0000003D" w14:textId="77777777" w:rsidR="00BA2725" w:rsidRDefault="00AB2A49" w:rsidP="005F71DB">
      <w:pPr>
        <w:pBdr>
          <w:top w:val="nil"/>
          <w:left w:val="nil"/>
          <w:bottom w:val="nil"/>
          <w:right w:val="nil"/>
          <w:between w:val="nil"/>
        </w:pBdr>
        <w:spacing w:before="221" w:line="360" w:lineRule="auto"/>
        <w:ind w:left="100"/>
        <w:rPr>
          <w:color w:val="000000"/>
          <w:sz w:val="24"/>
          <w:szCs w:val="24"/>
        </w:rPr>
      </w:pPr>
      <w:r>
        <w:rPr>
          <w:color w:val="000000"/>
          <w:sz w:val="24"/>
          <w:szCs w:val="24"/>
        </w:rPr>
        <w:t>Não houve fomento.</w:t>
      </w:r>
    </w:p>
    <w:sectPr w:rsidR="00BA2725">
      <w:pgSz w:w="11920" w:h="16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725"/>
    <w:rsid w:val="00244704"/>
    <w:rsid w:val="003408D3"/>
    <w:rsid w:val="004D3E44"/>
    <w:rsid w:val="005F71DB"/>
    <w:rsid w:val="00681432"/>
    <w:rsid w:val="00AB2A49"/>
    <w:rsid w:val="00BA2725"/>
    <w:rsid w:val="00FF70D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8BE37"/>
  <w15:docId w15:val="{200C69E4-6154-490E-9119-FE45E4DBF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ind w:left="100"/>
      <w:outlineLvl w:val="0"/>
    </w:pPr>
    <w:rPr>
      <w:b/>
      <w:sz w:val="24"/>
      <w:szCs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5F71DB"/>
    <w:rPr>
      <w:color w:val="0000FF" w:themeColor="hyperlink"/>
      <w:u w:val="single"/>
    </w:rPr>
  </w:style>
  <w:style w:type="character" w:styleId="UnresolvedMention">
    <w:name w:val="Unresolved Mention"/>
    <w:basedOn w:val="DefaultParagraphFont"/>
    <w:uiPriority w:val="99"/>
    <w:semiHidden/>
    <w:unhideWhenUsed/>
    <w:rsid w:val="005F7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ubiao.andre@gmail.com" TargetMode="External"/><Relationship Id="rId5" Type="http://schemas.openxmlformats.org/officeDocument/2006/relationships/hyperlink" Target="mailto:pedromaavilaa123@gmail.com" TargetMode="External"/><Relationship Id="rId4" Type="http://schemas.openxmlformats.org/officeDocument/2006/relationships/hyperlink" Target="mailto:coelhobeatriz20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1637</Words>
  <Characters>8846</Characters>
  <Application>Microsoft Office Word</Application>
  <DocSecurity>0</DocSecurity>
  <Lines>73</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10463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Rubião</dc:creator>
  <cp:lastModifiedBy>pedromaavila yes</cp:lastModifiedBy>
  <cp:revision>5</cp:revision>
  <dcterms:created xsi:type="dcterms:W3CDTF">2024-11-29T13:56:00Z</dcterms:created>
  <dcterms:modified xsi:type="dcterms:W3CDTF">2024-11-30T13:24:00Z</dcterms:modified>
</cp:coreProperties>
</file>