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8AFCA" w14:textId="18C155C9" w:rsidR="00EF61C6" w:rsidRPr="00EF61C6" w:rsidRDefault="00EF61C6" w:rsidP="00EF61C6">
      <w:pPr>
        <w:jc w:val="center"/>
        <w:rPr>
          <w:rFonts w:ascii="Arial" w:hAnsi="Arial" w:cs="Arial"/>
          <w:b/>
          <w:bCs/>
          <w:sz w:val="24"/>
          <w:szCs w:val="24"/>
        </w:rPr>
      </w:pPr>
      <w:r w:rsidRPr="00EF61C6">
        <w:rPr>
          <w:rFonts w:ascii="Arial" w:hAnsi="Arial" w:cs="Arial"/>
          <w:b/>
          <w:bCs/>
          <w:sz w:val="24"/>
          <w:szCs w:val="24"/>
        </w:rPr>
        <w:t>ESPAÇO PÚBLICO: USOS, VIVÊNCIAS E EXPERIÊNCIAS URBANAS</w:t>
      </w:r>
    </w:p>
    <w:p w14:paraId="74E6D386" w14:textId="77777777" w:rsidR="00A403EB" w:rsidRDefault="00A403EB" w:rsidP="00A403EB">
      <w:pPr>
        <w:rPr>
          <w:rFonts w:ascii="Arial" w:hAnsi="Arial" w:cs="Arial"/>
          <w:b/>
          <w:bCs/>
          <w:sz w:val="24"/>
          <w:szCs w:val="24"/>
        </w:rPr>
      </w:pPr>
    </w:p>
    <w:p w14:paraId="0E19CD4D" w14:textId="1B50C08C" w:rsidR="00EF61C6" w:rsidRDefault="00A403EB" w:rsidP="00A403EB">
      <w:pPr>
        <w:jc w:val="center"/>
        <w:rPr>
          <w:rFonts w:ascii="Arial" w:hAnsi="Arial" w:cs="Arial"/>
          <w:b/>
          <w:bCs/>
          <w:sz w:val="24"/>
          <w:szCs w:val="24"/>
        </w:rPr>
      </w:pPr>
      <w:r>
        <w:rPr>
          <w:rFonts w:ascii="Arial" w:hAnsi="Arial" w:cs="Arial"/>
          <w:sz w:val="24"/>
          <w:szCs w:val="24"/>
        </w:rPr>
        <w:t xml:space="preserve">Juliana </w:t>
      </w:r>
      <w:r w:rsidR="008301D4">
        <w:rPr>
          <w:rFonts w:ascii="Arial" w:hAnsi="Arial" w:cs="Arial"/>
          <w:sz w:val="24"/>
          <w:szCs w:val="24"/>
        </w:rPr>
        <w:t xml:space="preserve"> </w:t>
      </w:r>
      <w:r>
        <w:rPr>
          <w:rFonts w:ascii="Arial" w:hAnsi="Arial" w:cs="Arial"/>
          <w:sz w:val="24"/>
          <w:szCs w:val="24"/>
        </w:rPr>
        <w:t xml:space="preserve">Cunha </w:t>
      </w:r>
      <w:r w:rsidR="008301D4">
        <w:rPr>
          <w:rFonts w:ascii="Arial" w:hAnsi="Arial" w:cs="Arial"/>
          <w:sz w:val="24"/>
          <w:szCs w:val="24"/>
        </w:rPr>
        <w:t xml:space="preserve"> </w:t>
      </w:r>
      <w:r>
        <w:rPr>
          <w:rFonts w:ascii="Arial" w:hAnsi="Arial" w:cs="Arial"/>
          <w:sz w:val="24"/>
          <w:szCs w:val="24"/>
        </w:rPr>
        <w:t xml:space="preserve">Carlini, </w:t>
      </w:r>
      <w:r w:rsidR="008301D4">
        <w:rPr>
          <w:rFonts w:ascii="Arial" w:hAnsi="Arial" w:cs="Arial"/>
          <w:sz w:val="24"/>
          <w:szCs w:val="24"/>
        </w:rPr>
        <w:t xml:space="preserve"> </w:t>
      </w:r>
      <w:r>
        <w:rPr>
          <w:rFonts w:ascii="Arial" w:hAnsi="Arial" w:cs="Arial"/>
          <w:sz w:val="24"/>
          <w:szCs w:val="24"/>
        </w:rPr>
        <w:t>Vitor</w:t>
      </w:r>
      <w:r w:rsidR="008301D4">
        <w:rPr>
          <w:rFonts w:ascii="Arial" w:hAnsi="Arial" w:cs="Arial"/>
          <w:sz w:val="24"/>
          <w:szCs w:val="24"/>
        </w:rPr>
        <w:t xml:space="preserve"> </w:t>
      </w:r>
      <w:r>
        <w:rPr>
          <w:rFonts w:ascii="Arial" w:hAnsi="Arial" w:cs="Arial"/>
          <w:sz w:val="24"/>
          <w:szCs w:val="24"/>
        </w:rPr>
        <w:t xml:space="preserve"> Luciano</w:t>
      </w:r>
      <w:r w:rsidR="008301D4">
        <w:rPr>
          <w:rFonts w:ascii="Arial" w:hAnsi="Arial" w:cs="Arial"/>
          <w:sz w:val="24"/>
          <w:szCs w:val="24"/>
        </w:rPr>
        <w:t xml:space="preserve"> </w:t>
      </w:r>
      <w:r>
        <w:rPr>
          <w:rFonts w:ascii="Arial" w:hAnsi="Arial" w:cs="Arial"/>
          <w:sz w:val="24"/>
          <w:szCs w:val="24"/>
        </w:rPr>
        <w:t xml:space="preserve"> Pereira, </w:t>
      </w:r>
      <w:r w:rsidR="008301D4">
        <w:rPr>
          <w:rFonts w:ascii="Arial" w:hAnsi="Arial" w:cs="Arial"/>
          <w:sz w:val="24"/>
          <w:szCs w:val="24"/>
        </w:rPr>
        <w:t xml:space="preserve"> </w:t>
      </w:r>
      <w:r>
        <w:rPr>
          <w:rFonts w:ascii="Arial" w:hAnsi="Arial" w:cs="Arial"/>
          <w:sz w:val="24"/>
          <w:szCs w:val="24"/>
        </w:rPr>
        <w:t>Edilson</w:t>
      </w:r>
      <w:r w:rsidR="008301D4">
        <w:rPr>
          <w:rFonts w:ascii="Arial" w:hAnsi="Arial" w:cs="Arial"/>
          <w:sz w:val="24"/>
          <w:szCs w:val="24"/>
        </w:rPr>
        <w:t xml:space="preserve"> </w:t>
      </w:r>
      <w:r>
        <w:rPr>
          <w:rFonts w:ascii="Arial" w:hAnsi="Arial" w:cs="Arial"/>
          <w:sz w:val="24"/>
          <w:szCs w:val="24"/>
        </w:rPr>
        <w:t xml:space="preserve"> Rezende </w:t>
      </w:r>
      <w:r w:rsidR="008301D4">
        <w:rPr>
          <w:rFonts w:ascii="Arial" w:hAnsi="Arial" w:cs="Arial"/>
          <w:sz w:val="24"/>
          <w:szCs w:val="24"/>
        </w:rPr>
        <w:t xml:space="preserve"> </w:t>
      </w:r>
      <w:r>
        <w:rPr>
          <w:rFonts w:ascii="Arial" w:hAnsi="Arial" w:cs="Arial"/>
          <w:sz w:val="24"/>
          <w:szCs w:val="24"/>
        </w:rPr>
        <w:t>Soares,</w:t>
      </w:r>
      <w:r w:rsidR="008301D4">
        <w:rPr>
          <w:rFonts w:ascii="Arial" w:hAnsi="Arial" w:cs="Arial"/>
          <w:sz w:val="24"/>
          <w:szCs w:val="24"/>
        </w:rPr>
        <w:t xml:space="preserve"> </w:t>
      </w:r>
      <w:r>
        <w:rPr>
          <w:rFonts w:ascii="Arial" w:hAnsi="Arial" w:cs="Arial"/>
          <w:sz w:val="24"/>
          <w:szCs w:val="24"/>
        </w:rPr>
        <w:t xml:space="preserve"> Isabel Cristina Melo Silva,</w:t>
      </w:r>
      <w:r w:rsidR="008301D4">
        <w:rPr>
          <w:rFonts w:ascii="Arial" w:hAnsi="Arial" w:cs="Arial"/>
          <w:sz w:val="24"/>
          <w:szCs w:val="24"/>
        </w:rPr>
        <w:t xml:space="preserve"> </w:t>
      </w:r>
      <w:r>
        <w:rPr>
          <w:rFonts w:ascii="Arial" w:hAnsi="Arial" w:cs="Arial"/>
          <w:sz w:val="24"/>
          <w:szCs w:val="24"/>
        </w:rPr>
        <w:t xml:space="preserve"> Lucas dos Santos, </w:t>
      </w:r>
      <w:r w:rsidR="008301D4">
        <w:rPr>
          <w:rFonts w:ascii="Arial" w:hAnsi="Arial" w:cs="Arial"/>
          <w:sz w:val="24"/>
          <w:szCs w:val="24"/>
        </w:rPr>
        <w:t xml:space="preserve"> </w:t>
      </w:r>
      <w:r>
        <w:rPr>
          <w:rFonts w:ascii="Arial" w:hAnsi="Arial" w:cs="Arial"/>
          <w:sz w:val="24"/>
          <w:szCs w:val="24"/>
        </w:rPr>
        <w:t>Letícia Dayse de Almeida</w:t>
      </w:r>
      <w:r w:rsidR="008301D4">
        <w:rPr>
          <w:rFonts w:ascii="Arial" w:hAnsi="Arial" w:cs="Arial"/>
          <w:sz w:val="24"/>
          <w:szCs w:val="24"/>
        </w:rPr>
        <w:t>,</w:t>
      </w:r>
      <w:r w:rsidR="008301D4">
        <w:rPr>
          <w:rFonts w:ascii="Arial" w:hAnsi="Arial" w:cs="Arial"/>
          <w:sz w:val="24"/>
          <w:szCs w:val="24"/>
        </w:rPr>
        <w:t xml:space="preserve"> </w:t>
      </w:r>
      <w:r w:rsidR="008301D4">
        <w:rPr>
          <w:rFonts w:ascii="Arial" w:hAnsi="Arial" w:cs="Arial"/>
          <w:sz w:val="24"/>
          <w:szCs w:val="24"/>
        </w:rPr>
        <w:t xml:space="preserve"> </w:t>
      </w:r>
      <w:r w:rsidR="008301D4">
        <w:rPr>
          <w:rFonts w:ascii="Arial" w:hAnsi="Arial" w:cs="Arial"/>
          <w:sz w:val="24"/>
          <w:szCs w:val="24"/>
        </w:rPr>
        <w:t>Maria Isabel Imbronito</w:t>
      </w:r>
      <w:r w:rsidR="008301D4" w:rsidRPr="008301D4">
        <w:rPr>
          <w:rFonts w:ascii="Arial" w:hAnsi="Arial" w:cs="Arial"/>
          <w:sz w:val="24"/>
          <w:szCs w:val="24"/>
        </w:rPr>
        <w:t xml:space="preserve"> </w:t>
      </w:r>
      <w:r w:rsidR="008301D4">
        <w:rPr>
          <w:rFonts w:ascii="Arial" w:hAnsi="Arial" w:cs="Arial"/>
          <w:sz w:val="24"/>
          <w:szCs w:val="24"/>
        </w:rPr>
        <w:t>(</w:t>
      </w:r>
      <w:r w:rsidR="008301D4">
        <w:rPr>
          <w:rFonts w:ascii="Arial" w:hAnsi="Arial" w:cs="Arial"/>
          <w:sz w:val="24"/>
          <w:szCs w:val="24"/>
        </w:rPr>
        <w:t>Profa. Dra</w:t>
      </w:r>
      <w:r w:rsidR="008301D4">
        <w:rPr>
          <w:rFonts w:ascii="Arial" w:hAnsi="Arial" w:cs="Arial"/>
          <w:sz w:val="24"/>
          <w:szCs w:val="24"/>
        </w:rPr>
        <w:t>)</w:t>
      </w:r>
    </w:p>
    <w:p w14:paraId="020242DC" w14:textId="77777777" w:rsidR="00A403EB" w:rsidRDefault="00A403EB" w:rsidP="00EF61C6">
      <w:pPr>
        <w:rPr>
          <w:rFonts w:ascii="Arial" w:hAnsi="Arial" w:cs="Arial"/>
          <w:b/>
          <w:bCs/>
          <w:sz w:val="24"/>
          <w:szCs w:val="24"/>
        </w:rPr>
      </w:pPr>
    </w:p>
    <w:p w14:paraId="73DE45D5" w14:textId="51493EFD" w:rsidR="00EF61C6" w:rsidRDefault="00EF61C6" w:rsidP="00EF61C6">
      <w:pPr>
        <w:rPr>
          <w:rFonts w:ascii="Arial" w:hAnsi="Arial" w:cs="Arial"/>
          <w:b/>
          <w:bCs/>
          <w:sz w:val="24"/>
          <w:szCs w:val="24"/>
        </w:rPr>
      </w:pPr>
      <w:r>
        <w:rPr>
          <w:rFonts w:ascii="Arial" w:hAnsi="Arial" w:cs="Arial"/>
          <w:b/>
          <w:bCs/>
          <w:sz w:val="24"/>
          <w:szCs w:val="24"/>
        </w:rPr>
        <w:t>Resumo</w:t>
      </w:r>
    </w:p>
    <w:p w14:paraId="612149EE" w14:textId="0EE622A2" w:rsidR="00EF61C6" w:rsidRDefault="00EF61C6" w:rsidP="00554389">
      <w:pPr>
        <w:spacing w:line="240" w:lineRule="auto"/>
        <w:jc w:val="both"/>
        <w:rPr>
          <w:rFonts w:ascii="Arial" w:hAnsi="Arial" w:cs="Arial"/>
          <w:sz w:val="24"/>
          <w:szCs w:val="24"/>
        </w:rPr>
      </w:pPr>
      <w:r>
        <w:rPr>
          <w:rFonts w:ascii="Arial" w:hAnsi="Arial" w:cs="Arial"/>
          <w:sz w:val="24"/>
          <w:szCs w:val="24"/>
        </w:rPr>
        <w:t>Estudo da qualidade dos espaços livres urbanos com ênfase na vitalidade urbana, caminhabilidade e cultura urbana. Justifica-se pela necessidade de ampliar conhecimentos no estudo da cidade para projetar espaços urbanos com qualidade e alinhados aos desafios da ODS11.</w:t>
      </w:r>
      <w:r w:rsidRPr="00EF61C6">
        <w:rPr>
          <w:rFonts w:ascii="Arial" w:hAnsi="Arial" w:cs="Arial"/>
          <w:sz w:val="24"/>
          <w:szCs w:val="24"/>
        </w:rPr>
        <w:t xml:space="preserve"> </w:t>
      </w:r>
      <w:r w:rsidRPr="00EF61C6">
        <w:rPr>
          <w:rFonts w:ascii="Arial" w:hAnsi="Arial" w:cs="Arial"/>
          <w:sz w:val="24"/>
          <w:szCs w:val="24"/>
        </w:rPr>
        <w:t xml:space="preserve">A abordagem metodológica considera estudo de caso </w:t>
      </w:r>
      <w:r>
        <w:rPr>
          <w:rFonts w:ascii="Arial" w:hAnsi="Arial" w:cs="Arial"/>
          <w:sz w:val="24"/>
          <w:szCs w:val="24"/>
        </w:rPr>
        <w:t>e</w:t>
      </w:r>
      <w:r w:rsidRPr="00EF61C6">
        <w:rPr>
          <w:rFonts w:ascii="Arial" w:hAnsi="Arial" w:cs="Arial"/>
          <w:sz w:val="24"/>
          <w:szCs w:val="24"/>
        </w:rPr>
        <w:t xml:space="preserve"> aplicação de métodos qualitativos pautados na análise e descrição do fato urbano a partir de critérios</w:t>
      </w:r>
      <w:r>
        <w:rPr>
          <w:rFonts w:ascii="Arial" w:hAnsi="Arial" w:cs="Arial"/>
          <w:sz w:val="24"/>
          <w:szCs w:val="24"/>
        </w:rPr>
        <w:t xml:space="preserve"> como</w:t>
      </w:r>
      <w:r w:rsidRPr="00EF61C6">
        <w:rPr>
          <w:rFonts w:ascii="Arial" w:hAnsi="Arial" w:cs="Arial"/>
          <w:sz w:val="24"/>
          <w:szCs w:val="24"/>
        </w:rPr>
        <w:t xml:space="preserve"> vitalidade urbana, visão seriada, complexidade, escala humana, elementos facilitadores de caminhabilidade, presença de arte e cultura urbana, mapeamento de fluxos</w:t>
      </w:r>
      <w:r>
        <w:rPr>
          <w:rFonts w:ascii="Arial" w:hAnsi="Arial" w:cs="Arial"/>
          <w:sz w:val="24"/>
          <w:szCs w:val="24"/>
        </w:rPr>
        <w:t xml:space="preserve"> e </w:t>
      </w:r>
      <w:r w:rsidRPr="00EF61C6">
        <w:rPr>
          <w:rFonts w:ascii="Arial" w:hAnsi="Arial" w:cs="Arial"/>
          <w:sz w:val="24"/>
          <w:szCs w:val="24"/>
        </w:rPr>
        <w:t>permanências no espaço.</w:t>
      </w:r>
      <w:r>
        <w:rPr>
          <w:rFonts w:ascii="Arial" w:hAnsi="Arial" w:cs="Arial"/>
          <w:sz w:val="24"/>
          <w:szCs w:val="24"/>
        </w:rPr>
        <w:t xml:space="preserve"> </w:t>
      </w:r>
      <w:r w:rsidR="00554389">
        <w:rPr>
          <w:rFonts w:ascii="Arial" w:hAnsi="Arial" w:cs="Arial"/>
          <w:sz w:val="24"/>
          <w:szCs w:val="24"/>
        </w:rPr>
        <w:t>Considera-se a necessidade de adaptar as metodologias para cada área escolhida.</w:t>
      </w:r>
      <w:r w:rsidR="000545B6">
        <w:rPr>
          <w:rFonts w:ascii="Arial" w:hAnsi="Arial" w:cs="Arial"/>
          <w:sz w:val="24"/>
          <w:szCs w:val="24"/>
        </w:rPr>
        <w:t xml:space="preserve"> </w:t>
      </w:r>
      <w:r>
        <w:rPr>
          <w:rFonts w:ascii="Arial" w:hAnsi="Arial" w:cs="Arial"/>
          <w:sz w:val="24"/>
          <w:szCs w:val="24"/>
        </w:rPr>
        <w:t xml:space="preserve">Três áreas diferentes foram estudadas: Rochdale (Osasco), Comunidade Verdes e Encosta Norte (Zona Leste de São Paulo). Aponta-se para a presença de espaços de vulnerabilidade ambiental junto </w:t>
      </w:r>
      <w:r w:rsidR="00554389">
        <w:rPr>
          <w:rFonts w:ascii="Arial" w:hAnsi="Arial" w:cs="Arial"/>
          <w:sz w:val="24"/>
          <w:szCs w:val="24"/>
        </w:rPr>
        <w:t>a</w:t>
      </w:r>
      <w:r>
        <w:rPr>
          <w:rFonts w:ascii="Arial" w:hAnsi="Arial" w:cs="Arial"/>
          <w:sz w:val="24"/>
          <w:szCs w:val="24"/>
        </w:rPr>
        <w:t xml:space="preserve"> comunidades</w:t>
      </w:r>
      <w:r w:rsidR="00554389">
        <w:rPr>
          <w:rFonts w:ascii="Arial" w:hAnsi="Arial" w:cs="Arial"/>
          <w:sz w:val="24"/>
          <w:szCs w:val="24"/>
        </w:rPr>
        <w:t>, com áreas alagáveis, locais de descarte de resíduos e falta de infraestrutura urbana.</w:t>
      </w:r>
    </w:p>
    <w:p w14:paraId="345326E9" w14:textId="77777777" w:rsidR="00A403EB" w:rsidRPr="00EF61C6" w:rsidRDefault="00A403EB" w:rsidP="00554389">
      <w:pPr>
        <w:spacing w:line="240" w:lineRule="auto"/>
        <w:jc w:val="both"/>
        <w:rPr>
          <w:rFonts w:ascii="Arial" w:hAnsi="Arial" w:cs="Arial"/>
          <w:sz w:val="24"/>
          <w:szCs w:val="24"/>
        </w:rPr>
      </w:pPr>
    </w:p>
    <w:p w14:paraId="2E3498FA" w14:textId="45CFDB96" w:rsidR="00EF61C6" w:rsidRDefault="00EF61C6" w:rsidP="008301D4">
      <w:pPr>
        <w:jc w:val="both"/>
        <w:rPr>
          <w:rFonts w:ascii="Arial" w:hAnsi="Arial" w:cs="Arial"/>
          <w:sz w:val="24"/>
          <w:szCs w:val="24"/>
        </w:rPr>
      </w:pPr>
      <w:r w:rsidRPr="00EF61C6">
        <w:rPr>
          <w:rFonts w:ascii="Arial" w:hAnsi="Arial" w:cs="Arial"/>
          <w:b/>
          <w:bCs/>
          <w:sz w:val="24"/>
          <w:szCs w:val="24"/>
        </w:rPr>
        <w:t>Palavras-chave</w:t>
      </w:r>
      <w:r w:rsidR="00554389">
        <w:rPr>
          <w:rFonts w:ascii="Arial" w:hAnsi="Arial" w:cs="Arial"/>
          <w:b/>
          <w:bCs/>
          <w:sz w:val="24"/>
          <w:szCs w:val="24"/>
        </w:rPr>
        <w:t xml:space="preserve">: </w:t>
      </w:r>
      <w:r w:rsidRPr="00EF61C6">
        <w:rPr>
          <w:rFonts w:ascii="Arial" w:hAnsi="Arial" w:cs="Arial"/>
          <w:sz w:val="24"/>
          <w:szCs w:val="24"/>
        </w:rPr>
        <w:t xml:space="preserve">metodologias </w:t>
      </w:r>
      <w:r w:rsidR="00554389">
        <w:rPr>
          <w:rFonts w:ascii="Arial" w:hAnsi="Arial" w:cs="Arial"/>
          <w:sz w:val="24"/>
          <w:szCs w:val="24"/>
        </w:rPr>
        <w:t>de</w:t>
      </w:r>
      <w:r w:rsidRPr="00EF61C6">
        <w:rPr>
          <w:rFonts w:ascii="Arial" w:hAnsi="Arial" w:cs="Arial"/>
          <w:sz w:val="24"/>
          <w:szCs w:val="24"/>
        </w:rPr>
        <w:t xml:space="preserve"> estudo do ambiente urbano, qualidade do ambiente urbano, espaço público, cultura urbana</w:t>
      </w:r>
    </w:p>
    <w:p w14:paraId="6367420C" w14:textId="77777777" w:rsidR="00A403EB" w:rsidRPr="00EF61C6" w:rsidRDefault="00A403EB" w:rsidP="008301D4">
      <w:pPr>
        <w:jc w:val="both"/>
        <w:rPr>
          <w:rFonts w:ascii="Arial" w:hAnsi="Arial" w:cs="Arial"/>
          <w:sz w:val="24"/>
          <w:szCs w:val="24"/>
        </w:rPr>
      </w:pPr>
    </w:p>
    <w:p w14:paraId="32DD89B6" w14:textId="5D94E658" w:rsidR="00EF61C6" w:rsidRPr="00EF61C6" w:rsidRDefault="00554389" w:rsidP="008301D4">
      <w:pPr>
        <w:jc w:val="both"/>
        <w:rPr>
          <w:rFonts w:ascii="Arial" w:hAnsi="Arial" w:cs="Arial"/>
          <w:b/>
          <w:bCs/>
          <w:sz w:val="24"/>
          <w:szCs w:val="24"/>
        </w:rPr>
      </w:pPr>
      <w:r>
        <w:rPr>
          <w:rFonts w:ascii="Arial" w:hAnsi="Arial" w:cs="Arial"/>
          <w:b/>
          <w:bCs/>
          <w:sz w:val="24"/>
          <w:szCs w:val="24"/>
        </w:rPr>
        <w:t>Introdução</w:t>
      </w:r>
    </w:p>
    <w:p w14:paraId="77F8CB41" w14:textId="55EAAE7B" w:rsidR="00EF61C6" w:rsidRPr="00EF61C6" w:rsidRDefault="00EF61C6" w:rsidP="008301D4">
      <w:pPr>
        <w:jc w:val="both"/>
        <w:rPr>
          <w:rFonts w:ascii="Arial" w:hAnsi="Arial" w:cs="Arial"/>
          <w:sz w:val="24"/>
          <w:szCs w:val="24"/>
        </w:rPr>
      </w:pPr>
      <w:r w:rsidRPr="00EF61C6">
        <w:rPr>
          <w:rFonts w:ascii="Arial" w:hAnsi="Arial" w:cs="Arial"/>
          <w:sz w:val="24"/>
          <w:szCs w:val="24"/>
        </w:rPr>
        <w:t xml:space="preserve">A pesquisa dedica-se ao estudo de situações urbanas associadas aos conceitos de vitalidade urbana, caminhabilidade e cultura urbana. </w:t>
      </w:r>
      <w:r w:rsidR="00554389">
        <w:rPr>
          <w:rFonts w:ascii="Arial" w:hAnsi="Arial" w:cs="Arial"/>
          <w:sz w:val="24"/>
          <w:szCs w:val="24"/>
        </w:rPr>
        <w:t>Os</w:t>
      </w:r>
      <w:r w:rsidRPr="00EF61C6">
        <w:rPr>
          <w:rFonts w:ascii="Arial" w:hAnsi="Arial" w:cs="Arial"/>
          <w:sz w:val="24"/>
          <w:szCs w:val="24"/>
        </w:rPr>
        <w:t xml:space="preserve"> três enfoques ao espaço urbano, tratados isoladamente ou em conjunto, possibilitam uma gama de abordagens às pesquisas</w:t>
      </w:r>
      <w:r w:rsidR="00554389">
        <w:rPr>
          <w:rFonts w:ascii="Arial" w:hAnsi="Arial" w:cs="Arial"/>
          <w:sz w:val="24"/>
          <w:szCs w:val="24"/>
        </w:rPr>
        <w:t xml:space="preserve">, que </w:t>
      </w:r>
      <w:r w:rsidRPr="00EF61C6">
        <w:rPr>
          <w:rFonts w:ascii="Arial" w:hAnsi="Arial" w:cs="Arial"/>
          <w:sz w:val="24"/>
          <w:szCs w:val="24"/>
        </w:rPr>
        <w:t>se adequar</w:t>
      </w:r>
      <w:r w:rsidR="00554389">
        <w:rPr>
          <w:rFonts w:ascii="Arial" w:hAnsi="Arial" w:cs="Arial"/>
          <w:sz w:val="24"/>
          <w:szCs w:val="24"/>
        </w:rPr>
        <w:t xml:space="preserve">am ao </w:t>
      </w:r>
      <w:r w:rsidRPr="00EF61C6">
        <w:rPr>
          <w:rFonts w:ascii="Arial" w:hAnsi="Arial" w:cs="Arial"/>
          <w:sz w:val="24"/>
          <w:szCs w:val="24"/>
        </w:rPr>
        <w:t>interesse do aluno-pesquisador, compondo um conjunto de trabalhos sobre o tema do espaço público.</w:t>
      </w:r>
    </w:p>
    <w:p w14:paraId="1E9A6909" w14:textId="69F71247" w:rsidR="00EF61C6" w:rsidRPr="00EF61C6" w:rsidRDefault="00EF61C6" w:rsidP="008301D4">
      <w:pPr>
        <w:jc w:val="both"/>
        <w:rPr>
          <w:rFonts w:ascii="Arial" w:hAnsi="Arial" w:cs="Arial"/>
          <w:sz w:val="24"/>
          <w:szCs w:val="24"/>
        </w:rPr>
      </w:pPr>
      <w:r w:rsidRPr="00EF61C6">
        <w:rPr>
          <w:rFonts w:ascii="Arial" w:hAnsi="Arial" w:cs="Arial"/>
          <w:sz w:val="24"/>
          <w:szCs w:val="24"/>
        </w:rPr>
        <w:t xml:space="preserve">A vitalidade urbana refere-se à dinâmica das pessoas em um espaço urbano, associada a fatores como a densidade, combinação de usos, acessibilidade, disponibilidade do espaço para a inclusão de pessoas de diferentes origens e grupos sociais, e a qualidade do espaço público. Jacobs (2011), Lynch (2018), Cullen (1971), Appleyard (1981), Ewing e Bartholomew (2013) fornecem diretrizes para avaliação da vitalidade dos espaços urbanos. Jacobs (2011) discute a mistura de usos e grupos sociais, dos tipos de imóveis, a complementaridade de turnos na cidade e a participação da população nas decisões </w:t>
      </w:r>
      <w:r w:rsidR="00A403EB">
        <w:rPr>
          <w:rFonts w:ascii="Arial" w:hAnsi="Arial" w:cs="Arial"/>
          <w:sz w:val="24"/>
          <w:szCs w:val="24"/>
        </w:rPr>
        <w:t>de governança</w:t>
      </w:r>
      <w:r w:rsidRPr="00EF61C6">
        <w:rPr>
          <w:rFonts w:ascii="Arial" w:hAnsi="Arial" w:cs="Arial"/>
          <w:sz w:val="24"/>
          <w:szCs w:val="24"/>
        </w:rPr>
        <w:t>. Lynch (2018) discute o meio urbano a partir de sua articulação (bairro)</w:t>
      </w:r>
      <w:r w:rsidR="00A403EB">
        <w:rPr>
          <w:rFonts w:ascii="Arial" w:hAnsi="Arial" w:cs="Arial"/>
          <w:sz w:val="24"/>
          <w:szCs w:val="24"/>
        </w:rPr>
        <w:t xml:space="preserve"> e de </w:t>
      </w:r>
      <w:r w:rsidRPr="00EF61C6">
        <w:rPr>
          <w:rFonts w:ascii="Arial" w:hAnsi="Arial" w:cs="Arial"/>
          <w:sz w:val="24"/>
          <w:szCs w:val="24"/>
        </w:rPr>
        <w:t xml:space="preserve">conceitos como limites, pontos nodais, imageabilidade </w:t>
      </w:r>
      <w:r w:rsidRPr="00EF61C6">
        <w:rPr>
          <w:rFonts w:ascii="Arial" w:hAnsi="Arial" w:cs="Arial"/>
          <w:sz w:val="24"/>
          <w:szCs w:val="24"/>
        </w:rPr>
        <w:lastRenderedPageBreak/>
        <w:t>e marco urbano. Cullen (1971) desenvolve uma abordagem da visão seriada em percurso</w:t>
      </w:r>
      <w:r w:rsidR="00A403EB">
        <w:rPr>
          <w:rFonts w:ascii="Arial" w:hAnsi="Arial" w:cs="Arial"/>
          <w:sz w:val="24"/>
          <w:szCs w:val="24"/>
        </w:rPr>
        <w:t>s</w:t>
      </w:r>
      <w:r w:rsidRPr="00EF61C6">
        <w:rPr>
          <w:rFonts w:ascii="Arial" w:hAnsi="Arial" w:cs="Arial"/>
          <w:sz w:val="24"/>
          <w:szCs w:val="24"/>
        </w:rPr>
        <w:t xml:space="preserve"> urbano</w:t>
      </w:r>
      <w:r w:rsidR="00A403EB">
        <w:rPr>
          <w:rFonts w:ascii="Arial" w:hAnsi="Arial" w:cs="Arial"/>
          <w:sz w:val="24"/>
          <w:szCs w:val="24"/>
        </w:rPr>
        <w:t xml:space="preserve">s que </w:t>
      </w:r>
      <w:r w:rsidRPr="00EF61C6">
        <w:rPr>
          <w:rFonts w:ascii="Arial" w:hAnsi="Arial" w:cs="Arial"/>
          <w:sz w:val="24"/>
          <w:szCs w:val="24"/>
        </w:rPr>
        <w:t>valoriza</w:t>
      </w:r>
      <w:r w:rsidR="00A403EB">
        <w:rPr>
          <w:rFonts w:ascii="Arial" w:hAnsi="Arial" w:cs="Arial"/>
          <w:sz w:val="24"/>
          <w:szCs w:val="24"/>
        </w:rPr>
        <w:t>m</w:t>
      </w:r>
      <w:r w:rsidRPr="00EF61C6">
        <w:rPr>
          <w:rFonts w:ascii="Arial" w:hAnsi="Arial" w:cs="Arial"/>
          <w:sz w:val="24"/>
          <w:szCs w:val="24"/>
        </w:rPr>
        <w:t xml:space="preserve"> a multiplicidade de situações vividas pelo pedestre. Appleyard (1981) apresenta o conceito de vitalidade das ruas com base em vizinhanças fortalecidas que garantem o uso do espaço público. Ewing e Bartholomew (2013) apresentam categorias para medir a qualidade urbana</w:t>
      </w:r>
      <w:r w:rsidR="00A403EB">
        <w:rPr>
          <w:rFonts w:ascii="Arial" w:hAnsi="Arial" w:cs="Arial"/>
          <w:sz w:val="24"/>
          <w:szCs w:val="24"/>
        </w:rPr>
        <w:t>,</w:t>
      </w:r>
      <w:r w:rsidRPr="00EF61C6">
        <w:rPr>
          <w:rFonts w:ascii="Arial" w:hAnsi="Arial" w:cs="Arial"/>
          <w:sz w:val="24"/>
          <w:szCs w:val="24"/>
        </w:rPr>
        <w:t xml:space="preserve"> como escala humana, transparência, complexidade e caráter do espaço urbano. Através do estudo dos autores mencionados, a pesquisa </w:t>
      </w:r>
      <w:r w:rsidR="00A403EB">
        <w:rPr>
          <w:rFonts w:ascii="Arial" w:hAnsi="Arial" w:cs="Arial"/>
          <w:sz w:val="24"/>
          <w:szCs w:val="24"/>
        </w:rPr>
        <w:t>escolheu</w:t>
      </w:r>
      <w:r w:rsidRPr="00EF61C6">
        <w:rPr>
          <w:rFonts w:ascii="Arial" w:hAnsi="Arial" w:cs="Arial"/>
          <w:sz w:val="24"/>
          <w:szCs w:val="24"/>
        </w:rPr>
        <w:t xml:space="preserve"> critérios de análise gráfica e qualitativa para a leitura urbana aplicada a espaços públicos urbanos de interesse dos estudantes pesquisadores.</w:t>
      </w:r>
    </w:p>
    <w:p w14:paraId="24BC51D1" w14:textId="570229DA" w:rsidR="00EF61C6" w:rsidRPr="00EF61C6" w:rsidRDefault="00EF61C6" w:rsidP="008301D4">
      <w:pPr>
        <w:jc w:val="both"/>
        <w:rPr>
          <w:rFonts w:ascii="Arial" w:hAnsi="Arial" w:cs="Arial"/>
          <w:sz w:val="24"/>
          <w:szCs w:val="24"/>
        </w:rPr>
      </w:pPr>
      <w:r w:rsidRPr="00EF61C6">
        <w:rPr>
          <w:rFonts w:ascii="Arial" w:hAnsi="Arial" w:cs="Arial"/>
          <w:sz w:val="24"/>
          <w:szCs w:val="24"/>
        </w:rPr>
        <w:t>A pesquisa sobre vitalidade urbana é complementada por dois aspectos: caminhabilidade e cultura urbana. A caminhabilidade é uma qualidade do espaço urbano que o torna voltado ao pedestre</w:t>
      </w:r>
      <w:r w:rsidR="00A403EB">
        <w:rPr>
          <w:rFonts w:ascii="Arial" w:hAnsi="Arial" w:cs="Arial"/>
          <w:sz w:val="24"/>
          <w:szCs w:val="24"/>
        </w:rPr>
        <w:t xml:space="preserve"> e </w:t>
      </w:r>
      <w:r w:rsidRPr="00EF61C6">
        <w:rPr>
          <w:rFonts w:ascii="Arial" w:hAnsi="Arial" w:cs="Arial"/>
          <w:sz w:val="24"/>
          <w:szCs w:val="24"/>
        </w:rPr>
        <w:t>implica no ambiente urbano preparado para facilitar o andar a pé. Autores como Gehl (2013) e Speck (2012) são referências importantes para o estudo da caminhabilidade. A acessibilidade e o desenho universal são ferramentas para alcançar o espaço urbano caminhável</w:t>
      </w:r>
      <w:r w:rsidR="00A403EB">
        <w:rPr>
          <w:rFonts w:ascii="Arial" w:hAnsi="Arial" w:cs="Arial"/>
          <w:sz w:val="24"/>
          <w:szCs w:val="24"/>
        </w:rPr>
        <w:t xml:space="preserve">. As garantias de acessibilidade são pautadas pela </w:t>
      </w:r>
      <w:r w:rsidRPr="00EF61C6">
        <w:rPr>
          <w:rFonts w:ascii="Arial" w:hAnsi="Arial" w:cs="Arial"/>
          <w:sz w:val="24"/>
          <w:szCs w:val="24"/>
        </w:rPr>
        <w:t>norma NBR 9050-2004 e Decreto-Lei 5296-2004.</w:t>
      </w:r>
    </w:p>
    <w:p w14:paraId="679B86B4" w14:textId="79C30E44" w:rsidR="00EF61C6" w:rsidRPr="00EF61C6" w:rsidRDefault="00EF61C6" w:rsidP="008301D4">
      <w:pPr>
        <w:jc w:val="both"/>
        <w:rPr>
          <w:rFonts w:ascii="Arial" w:hAnsi="Arial" w:cs="Arial"/>
          <w:sz w:val="24"/>
          <w:szCs w:val="24"/>
        </w:rPr>
      </w:pPr>
      <w:r w:rsidRPr="00EF61C6">
        <w:rPr>
          <w:rFonts w:ascii="Arial" w:hAnsi="Arial" w:cs="Arial"/>
          <w:sz w:val="24"/>
          <w:szCs w:val="24"/>
        </w:rPr>
        <w:t>Já a cultura urbana potencializa o uso dos espaços públicos</w:t>
      </w:r>
      <w:r w:rsidR="00A403EB">
        <w:rPr>
          <w:rFonts w:ascii="Arial" w:hAnsi="Arial" w:cs="Arial"/>
          <w:sz w:val="24"/>
          <w:szCs w:val="24"/>
        </w:rPr>
        <w:t xml:space="preserve"> ao</w:t>
      </w:r>
      <w:r w:rsidRPr="00EF61C6">
        <w:rPr>
          <w:rFonts w:ascii="Arial" w:hAnsi="Arial" w:cs="Arial"/>
          <w:sz w:val="24"/>
          <w:szCs w:val="24"/>
        </w:rPr>
        <w:t xml:space="preserve"> </w:t>
      </w:r>
      <w:r w:rsidR="00A403EB">
        <w:rPr>
          <w:rFonts w:ascii="Arial" w:hAnsi="Arial" w:cs="Arial"/>
          <w:sz w:val="24"/>
          <w:szCs w:val="24"/>
        </w:rPr>
        <w:t xml:space="preserve">ser </w:t>
      </w:r>
      <w:r w:rsidRPr="00EF61C6">
        <w:rPr>
          <w:rFonts w:ascii="Arial" w:hAnsi="Arial" w:cs="Arial"/>
          <w:sz w:val="24"/>
          <w:szCs w:val="24"/>
        </w:rPr>
        <w:t>manifestada pelas populações nos espaços que habitam. Buscam-se elementos de arte urbana, manifestações populares e atividades cotidiana</w:t>
      </w:r>
      <w:r w:rsidR="00A403EB">
        <w:rPr>
          <w:rFonts w:ascii="Arial" w:hAnsi="Arial" w:cs="Arial"/>
          <w:sz w:val="24"/>
          <w:szCs w:val="24"/>
        </w:rPr>
        <w:t>s</w:t>
      </w:r>
      <w:r w:rsidRPr="00EF61C6">
        <w:rPr>
          <w:rFonts w:ascii="Arial" w:hAnsi="Arial" w:cs="Arial"/>
          <w:sz w:val="24"/>
          <w:szCs w:val="24"/>
        </w:rPr>
        <w:t xml:space="preserve"> como jogos, feiras e festas que acontecem em pontos específicos do espaço. A presença destes elementos pode ser mapeada em conjunto com os demais </w:t>
      </w:r>
      <w:r w:rsidR="00A403EB">
        <w:rPr>
          <w:rFonts w:ascii="Arial" w:hAnsi="Arial" w:cs="Arial"/>
          <w:sz w:val="24"/>
          <w:szCs w:val="24"/>
        </w:rPr>
        <w:t>quesitos</w:t>
      </w:r>
      <w:r w:rsidRPr="00EF61C6">
        <w:rPr>
          <w:rFonts w:ascii="Arial" w:hAnsi="Arial" w:cs="Arial"/>
          <w:sz w:val="24"/>
          <w:szCs w:val="24"/>
        </w:rPr>
        <w:t xml:space="preserve"> já mencionados.</w:t>
      </w:r>
    </w:p>
    <w:p w14:paraId="548BA80B" w14:textId="7DD6789F" w:rsidR="00EF61C6" w:rsidRPr="00EF61C6" w:rsidRDefault="00EF61C6" w:rsidP="008301D4">
      <w:pPr>
        <w:jc w:val="both"/>
        <w:rPr>
          <w:rFonts w:ascii="Arial" w:hAnsi="Arial" w:cs="Arial"/>
          <w:sz w:val="24"/>
          <w:szCs w:val="24"/>
        </w:rPr>
      </w:pPr>
      <w:r w:rsidRPr="00EF61C6">
        <w:rPr>
          <w:rFonts w:ascii="Arial" w:hAnsi="Arial" w:cs="Arial"/>
          <w:sz w:val="24"/>
          <w:szCs w:val="24"/>
        </w:rPr>
        <w:t>O estudo sistemático de espaços urbanos com base nestes conceitos e atributos colabora para ampliar e transmitir conhecimentos no campo do estudo da cidade e do urbanismo, fortalecendo o estudante de Arquitetura e Urbanismo para sua prática de projeto no espaço urbano. Projetar espaços urbanos com qualidade é uma demanda da sociedade contemporânea e um desafio presente nos Objetivos do Desenvolvimento Sustentável (ODS 11). Construir cidades melhores é atribuição do arquiteto- urbanista, para a qual ele deve se qualificar.</w:t>
      </w:r>
    </w:p>
    <w:p w14:paraId="7E7B807D" w14:textId="53AFD670" w:rsidR="00EF61C6" w:rsidRDefault="008301D4" w:rsidP="008301D4">
      <w:pPr>
        <w:jc w:val="both"/>
        <w:rPr>
          <w:rFonts w:ascii="Arial" w:hAnsi="Arial" w:cs="Arial"/>
          <w:sz w:val="24"/>
          <w:szCs w:val="24"/>
        </w:rPr>
      </w:pPr>
      <w:r w:rsidRPr="00EF61C6">
        <w:rPr>
          <w:rFonts w:ascii="Arial" w:hAnsi="Arial" w:cs="Arial"/>
          <w:sz w:val="24"/>
          <w:szCs w:val="24"/>
        </w:rPr>
        <w:t>A pesquisa pretende mapear um elenco de situações existentes em diálogo com autores e conceitos fundamentais do estudo das cidades.</w:t>
      </w:r>
      <w:r>
        <w:rPr>
          <w:rFonts w:ascii="Arial" w:hAnsi="Arial" w:cs="Arial"/>
          <w:sz w:val="24"/>
          <w:szCs w:val="24"/>
        </w:rPr>
        <w:t xml:space="preserve"> Busca-se também a</w:t>
      </w:r>
      <w:r w:rsidR="00EF61C6" w:rsidRPr="00EF61C6">
        <w:rPr>
          <w:rFonts w:ascii="Arial" w:hAnsi="Arial" w:cs="Arial"/>
          <w:sz w:val="24"/>
          <w:szCs w:val="24"/>
        </w:rPr>
        <w:t>profundar o entendimento de espaços urbanos, escolhido pelos estudantes como estudo de caso, com base em metodologia e critérios de análise definidos</w:t>
      </w:r>
      <w:r>
        <w:rPr>
          <w:rFonts w:ascii="Arial" w:hAnsi="Arial" w:cs="Arial"/>
          <w:sz w:val="24"/>
          <w:szCs w:val="24"/>
        </w:rPr>
        <w:t xml:space="preserve">, verificando </w:t>
      </w:r>
      <w:r w:rsidR="00EF61C6" w:rsidRPr="00EF61C6">
        <w:rPr>
          <w:rFonts w:ascii="Arial" w:hAnsi="Arial" w:cs="Arial"/>
          <w:sz w:val="24"/>
          <w:szCs w:val="24"/>
        </w:rPr>
        <w:t xml:space="preserve">elementos </w:t>
      </w:r>
      <w:r>
        <w:rPr>
          <w:rFonts w:ascii="Arial" w:hAnsi="Arial" w:cs="Arial"/>
          <w:sz w:val="24"/>
          <w:szCs w:val="24"/>
        </w:rPr>
        <w:t>do</w:t>
      </w:r>
      <w:r w:rsidR="00EF61C6" w:rsidRPr="00EF61C6">
        <w:rPr>
          <w:rFonts w:ascii="Arial" w:hAnsi="Arial" w:cs="Arial"/>
          <w:sz w:val="24"/>
          <w:szCs w:val="24"/>
        </w:rPr>
        <w:t xml:space="preserve"> espaço urbano que sejam indicadores da qualidade do espaço urbano.</w:t>
      </w:r>
    </w:p>
    <w:p w14:paraId="45A9F26A" w14:textId="77777777" w:rsidR="008301D4" w:rsidRPr="00EF61C6" w:rsidRDefault="008301D4" w:rsidP="008301D4">
      <w:pPr>
        <w:jc w:val="both"/>
        <w:rPr>
          <w:rFonts w:ascii="Arial" w:hAnsi="Arial" w:cs="Arial"/>
          <w:sz w:val="24"/>
          <w:szCs w:val="24"/>
        </w:rPr>
      </w:pPr>
    </w:p>
    <w:p w14:paraId="62FD3F49" w14:textId="77777777" w:rsidR="00EF61C6" w:rsidRDefault="00EF61C6" w:rsidP="008301D4">
      <w:pPr>
        <w:jc w:val="both"/>
        <w:rPr>
          <w:rFonts w:ascii="Arial" w:hAnsi="Arial" w:cs="Arial"/>
          <w:b/>
          <w:bCs/>
          <w:sz w:val="24"/>
          <w:szCs w:val="24"/>
        </w:rPr>
      </w:pPr>
      <w:r w:rsidRPr="00EF61C6">
        <w:rPr>
          <w:rFonts w:ascii="Arial" w:hAnsi="Arial" w:cs="Arial"/>
          <w:b/>
          <w:bCs/>
          <w:sz w:val="24"/>
          <w:szCs w:val="24"/>
        </w:rPr>
        <w:t>Metodologia</w:t>
      </w:r>
    </w:p>
    <w:p w14:paraId="2871ACE9" w14:textId="77777777" w:rsidR="00EF61C6" w:rsidRPr="00EF61C6" w:rsidRDefault="00EF61C6" w:rsidP="008301D4">
      <w:pPr>
        <w:jc w:val="both"/>
        <w:rPr>
          <w:rFonts w:ascii="Arial" w:hAnsi="Arial" w:cs="Arial"/>
          <w:sz w:val="24"/>
          <w:szCs w:val="24"/>
        </w:rPr>
      </w:pPr>
      <w:r w:rsidRPr="00EF61C6">
        <w:rPr>
          <w:rFonts w:ascii="Arial" w:hAnsi="Arial" w:cs="Arial"/>
          <w:sz w:val="24"/>
          <w:szCs w:val="24"/>
        </w:rPr>
        <w:t xml:space="preserve">A abordagem metodológica a ser utilizada na pesquisa considera o estudo de caso para a aplicação de métodos qualitativos, pautados na análise e descrição do fato urbano a partir de critérios pré-definidos. Além da descrição textual com roteiro a ser seguido, a análise das obras ocorrerá através da elaboração de peças gráficas geradas especificamente para compreender e ilustrar os aspectos </w:t>
      </w:r>
      <w:r w:rsidRPr="00EF61C6">
        <w:rPr>
          <w:rFonts w:ascii="Arial" w:hAnsi="Arial" w:cs="Arial"/>
          <w:sz w:val="24"/>
          <w:szCs w:val="24"/>
        </w:rPr>
        <w:lastRenderedPageBreak/>
        <w:t>estudados, a saber: vitalidade urbana, visão seriada, complexidade do espaço urbano, escala humana, elementos facilitadores de caminhabilidade, presença de arte e cultura urbana, mapeamento de fluxos/permanências no espaço.</w:t>
      </w:r>
    </w:p>
    <w:p w14:paraId="2C0334DF" w14:textId="1BC26639" w:rsidR="00EF61C6" w:rsidRDefault="00EF61C6" w:rsidP="008301D4">
      <w:pPr>
        <w:jc w:val="both"/>
        <w:rPr>
          <w:rFonts w:ascii="Arial" w:hAnsi="Arial" w:cs="Arial"/>
          <w:sz w:val="24"/>
          <w:szCs w:val="24"/>
        </w:rPr>
      </w:pPr>
      <w:r w:rsidRPr="00EF61C6">
        <w:rPr>
          <w:rFonts w:ascii="Arial" w:hAnsi="Arial" w:cs="Arial"/>
          <w:sz w:val="24"/>
          <w:szCs w:val="24"/>
        </w:rPr>
        <w:t>A abordagem qualitativa com levantamento no local será complementada com levantamento de dados históricos da formação dos locais de estudo, obtidos em fontes variadas como consulta a acervos e mapas, físicos e digitais, e revisão da bibliografia.</w:t>
      </w:r>
    </w:p>
    <w:p w14:paraId="07567190" w14:textId="3E785B77" w:rsidR="008301D4" w:rsidRDefault="008301D4" w:rsidP="008301D4">
      <w:pPr>
        <w:jc w:val="both"/>
        <w:rPr>
          <w:rFonts w:ascii="Arial" w:hAnsi="Arial" w:cs="Arial"/>
          <w:sz w:val="24"/>
          <w:szCs w:val="24"/>
        </w:rPr>
      </w:pPr>
      <w:r>
        <w:rPr>
          <w:rFonts w:ascii="Arial" w:hAnsi="Arial" w:cs="Arial"/>
          <w:sz w:val="24"/>
          <w:szCs w:val="24"/>
        </w:rPr>
        <w:t>O mapeamento é feito na ferramenta MyMaps com escolha de pontos de interesse inseridos em um percurso determinado para cada área-estudo. Os pontos são associados a imagens, tabulados e descritos. Por fim, faz-se uma análise dos dados recolhidos.</w:t>
      </w:r>
    </w:p>
    <w:p w14:paraId="2119CE2C" w14:textId="77777777" w:rsidR="008301D4" w:rsidRPr="00EF61C6" w:rsidRDefault="008301D4" w:rsidP="00EF61C6">
      <w:pPr>
        <w:rPr>
          <w:rFonts w:ascii="Arial" w:hAnsi="Arial" w:cs="Arial"/>
          <w:sz w:val="24"/>
          <w:szCs w:val="24"/>
        </w:rPr>
      </w:pPr>
    </w:p>
    <w:p w14:paraId="0EDF9D2F" w14:textId="48411097" w:rsidR="00EF61C6" w:rsidRPr="00EF61C6" w:rsidRDefault="00EF61C6" w:rsidP="00EF61C6">
      <w:pPr>
        <w:rPr>
          <w:rFonts w:ascii="Arial" w:hAnsi="Arial" w:cs="Arial"/>
          <w:b/>
          <w:bCs/>
          <w:sz w:val="24"/>
          <w:szCs w:val="24"/>
        </w:rPr>
      </w:pPr>
      <w:r w:rsidRPr="00EF61C6">
        <w:rPr>
          <w:rFonts w:ascii="Arial" w:hAnsi="Arial" w:cs="Arial"/>
          <w:b/>
          <w:bCs/>
          <w:sz w:val="24"/>
          <w:szCs w:val="24"/>
        </w:rPr>
        <w:t>R</w:t>
      </w:r>
      <w:r w:rsidR="008301D4">
        <w:rPr>
          <w:rFonts w:ascii="Arial" w:hAnsi="Arial" w:cs="Arial"/>
          <w:b/>
          <w:bCs/>
          <w:sz w:val="24"/>
          <w:szCs w:val="24"/>
        </w:rPr>
        <w:t>ESULTADOS E DISCUSSÕES</w:t>
      </w:r>
    </w:p>
    <w:p w14:paraId="7B182451" w14:textId="77777777" w:rsidR="007D7656" w:rsidRDefault="007D7656" w:rsidP="007D7656">
      <w:pPr>
        <w:rPr>
          <w:rFonts w:ascii="Arial" w:hAnsi="Arial" w:cs="Arial"/>
          <w:b/>
          <w:bCs/>
          <w:sz w:val="24"/>
          <w:szCs w:val="24"/>
        </w:rPr>
      </w:pPr>
    </w:p>
    <w:p w14:paraId="13BA2B7E" w14:textId="2183C702" w:rsidR="007D7656" w:rsidRDefault="007D7656" w:rsidP="00CB2173">
      <w:pPr>
        <w:jc w:val="both"/>
        <w:rPr>
          <w:rFonts w:ascii="Arial" w:hAnsi="Arial" w:cs="Arial"/>
          <w:sz w:val="24"/>
          <w:szCs w:val="24"/>
        </w:rPr>
      </w:pPr>
      <w:r w:rsidRPr="007D7656">
        <w:rPr>
          <w:rFonts w:ascii="Arial" w:hAnsi="Arial" w:cs="Arial"/>
          <w:b/>
          <w:bCs/>
          <w:sz w:val="24"/>
          <w:szCs w:val="24"/>
        </w:rPr>
        <w:t>Rochdale</w:t>
      </w:r>
      <w:r>
        <w:rPr>
          <w:rFonts w:ascii="Arial" w:hAnsi="Arial" w:cs="Arial"/>
          <w:b/>
          <w:bCs/>
          <w:sz w:val="24"/>
          <w:szCs w:val="24"/>
        </w:rPr>
        <w:t xml:space="preserve"> [1]</w:t>
      </w:r>
      <w:r w:rsidRPr="007D7656">
        <w:rPr>
          <w:rFonts w:ascii="Arial" w:hAnsi="Arial" w:cs="Arial"/>
          <w:b/>
          <w:bCs/>
          <w:sz w:val="24"/>
          <w:szCs w:val="24"/>
        </w:rPr>
        <w:t>, Osasco</w:t>
      </w:r>
      <w:r w:rsidR="00CB2173">
        <w:rPr>
          <w:rFonts w:ascii="Arial" w:hAnsi="Arial" w:cs="Arial"/>
          <w:b/>
          <w:bCs/>
          <w:sz w:val="24"/>
          <w:szCs w:val="24"/>
        </w:rPr>
        <w:t xml:space="preserve">. </w:t>
      </w:r>
      <w:r w:rsidRPr="007D7656">
        <w:rPr>
          <w:rFonts w:ascii="Arial" w:hAnsi="Arial" w:cs="Arial"/>
          <w:sz w:val="24"/>
          <w:szCs w:val="24"/>
        </w:rPr>
        <w:t>Bairro localizado ao norte do município</w:t>
      </w:r>
      <w:r>
        <w:rPr>
          <w:rFonts w:ascii="Arial" w:hAnsi="Arial" w:cs="Arial"/>
          <w:sz w:val="24"/>
          <w:szCs w:val="24"/>
        </w:rPr>
        <w:t xml:space="preserve"> de Osasco</w:t>
      </w:r>
      <w:r w:rsidRPr="007D7656">
        <w:rPr>
          <w:rFonts w:ascii="Arial" w:hAnsi="Arial" w:cs="Arial"/>
          <w:sz w:val="24"/>
          <w:szCs w:val="24"/>
        </w:rPr>
        <w:t>, delimitado a sul pela Rod. Castelo Branco e pelo Rio Tietê, e contornado no restante do perímetro pelo Braço Morto do Rio Tietê. A porção norte é afetada por transbordamentos do rio e abriga população em área de risco. A análise qualitativa de ruas e espaços livres ocorreu ao longo do Braço Morto e abrangeu tipos de vias, calçadas, iluminação pública e arborização. Os levantamentos foram feitos com auxílio do MyMaps, com definição de um ponto por quadra e captura da imagem correspondente. Os resultados apontam para diferentes tipos de rua e espaços livres ao longo do Braço Morto, com áreas livres dando lugar a ocupação de risco no período 2017-2024.</w:t>
      </w:r>
    </w:p>
    <w:p w14:paraId="628FA148" w14:textId="5D95303C" w:rsidR="007D7656" w:rsidRPr="007D7656" w:rsidRDefault="007D7656" w:rsidP="007D7656">
      <w:pPr>
        <w:jc w:val="center"/>
        <w:rPr>
          <w:rFonts w:ascii="Arial" w:hAnsi="Arial" w:cs="Arial"/>
          <w:sz w:val="24"/>
          <w:szCs w:val="24"/>
        </w:rPr>
      </w:pPr>
    </w:p>
    <w:p w14:paraId="0D2B4C0F" w14:textId="665CEC96" w:rsidR="007D7656" w:rsidRPr="007D7656" w:rsidRDefault="007D7656" w:rsidP="00CB2173">
      <w:pPr>
        <w:jc w:val="both"/>
        <w:rPr>
          <w:rFonts w:ascii="Arial" w:hAnsi="Arial" w:cs="Arial"/>
          <w:sz w:val="24"/>
          <w:szCs w:val="24"/>
        </w:rPr>
      </w:pPr>
      <w:r w:rsidRPr="007D7656">
        <w:rPr>
          <w:rFonts w:ascii="Arial" w:hAnsi="Arial" w:cs="Arial"/>
          <w:b/>
          <w:bCs/>
          <w:sz w:val="24"/>
          <w:szCs w:val="24"/>
        </w:rPr>
        <w:t>Comunidade Verdes</w:t>
      </w:r>
      <w:r>
        <w:rPr>
          <w:rFonts w:ascii="Arial" w:hAnsi="Arial" w:cs="Arial"/>
          <w:b/>
          <w:bCs/>
          <w:sz w:val="24"/>
          <w:szCs w:val="24"/>
        </w:rPr>
        <w:t xml:space="preserve"> [2]</w:t>
      </w:r>
      <w:r w:rsidRPr="007D7656">
        <w:rPr>
          <w:rFonts w:ascii="Arial" w:hAnsi="Arial" w:cs="Arial"/>
          <w:b/>
          <w:bCs/>
          <w:sz w:val="24"/>
          <w:szCs w:val="24"/>
        </w:rPr>
        <w:t>, Itaquera</w:t>
      </w:r>
      <w:r w:rsidR="00CB2173">
        <w:rPr>
          <w:rFonts w:ascii="Arial" w:hAnsi="Arial" w:cs="Arial"/>
          <w:b/>
          <w:bCs/>
          <w:sz w:val="24"/>
          <w:szCs w:val="24"/>
        </w:rPr>
        <w:t xml:space="preserve">. </w:t>
      </w:r>
      <w:r w:rsidRPr="007D7656">
        <w:rPr>
          <w:rFonts w:ascii="Arial" w:hAnsi="Arial" w:cs="Arial"/>
          <w:sz w:val="24"/>
          <w:szCs w:val="24"/>
        </w:rPr>
        <w:t>A comunidade surgiu com a ocupação do canteiro de obras do Sacolão Municipal da Av. Imperador. Tem como limites: o estacionamento do sacolão a sul, a linha de força a norte e um afluente do Córrego do Limoeiro a oeste.</w:t>
      </w:r>
      <w:r>
        <w:rPr>
          <w:rFonts w:ascii="Arial" w:hAnsi="Arial" w:cs="Arial"/>
          <w:sz w:val="24"/>
          <w:szCs w:val="24"/>
        </w:rPr>
        <w:t xml:space="preserve"> </w:t>
      </w:r>
      <w:r w:rsidRPr="007D7656">
        <w:rPr>
          <w:rFonts w:ascii="Arial" w:hAnsi="Arial" w:cs="Arial"/>
          <w:sz w:val="24"/>
          <w:szCs w:val="24"/>
        </w:rPr>
        <w:t>Foi feita a identificação das fases da ocupação e diferenciação por tipo de configuraç</w:t>
      </w:r>
      <w:r>
        <w:rPr>
          <w:rFonts w:ascii="Arial" w:hAnsi="Arial" w:cs="Arial"/>
          <w:sz w:val="24"/>
          <w:szCs w:val="24"/>
        </w:rPr>
        <w:t>ão</w:t>
      </w:r>
      <w:r w:rsidRPr="007D7656">
        <w:rPr>
          <w:rFonts w:ascii="Arial" w:hAnsi="Arial" w:cs="Arial"/>
          <w:sz w:val="24"/>
          <w:szCs w:val="24"/>
        </w:rPr>
        <w:t xml:space="preserve">. </w:t>
      </w:r>
      <w:r>
        <w:rPr>
          <w:rFonts w:ascii="Arial" w:hAnsi="Arial" w:cs="Arial"/>
          <w:sz w:val="24"/>
          <w:szCs w:val="24"/>
        </w:rPr>
        <w:t>D</w:t>
      </w:r>
      <w:r w:rsidRPr="007D7656">
        <w:rPr>
          <w:rFonts w:ascii="Arial" w:hAnsi="Arial" w:cs="Arial"/>
          <w:sz w:val="24"/>
          <w:szCs w:val="24"/>
        </w:rPr>
        <w:t>estacam-se as áreas verdes ao longo do córrego e da Av. Pe. Clemente Segura, e parte do estacionamento, convertido em quadra esportiva. A pesquisa dedica-se também a mapear as ações da Teto, ONG que constrói moradias, contenções, pontes e escadas nos espaços livres, através de ações voluntárias.</w:t>
      </w:r>
    </w:p>
    <w:p w14:paraId="72BD8746" w14:textId="554FFDBF" w:rsidR="007D7656" w:rsidRPr="007D7656" w:rsidRDefault="007D7656" w:rsidP="00CB2173">
      <w:pPr>
        <w:jc w:val="both"/>
        <w:rPr>
          <w:rFonts w:ascii="Arial" w:hAnsi="Arial" w:cs="Arial"/>
          <w:sz w:val="24"/>
          <w:szCs w:val="24"/>
        </w:rPr>
      </w:pPr>
      <w:r w:rsidRPr="007D7656">
        <w:rPr>
          <w:rFonts w:ascii="Arial" w:hAnsi="Arial" w:cs="Arial"/>
          <w:b/>
          <w:bCs/>
          <w:sz w:val="24"/>
          <w:szCs w:val="24"/>
        </w:rPr>
        <w:t>Encosta Norte</w:t>
      </w:r>
      <w:r w:rsidR="00CB2173">
        <w:rPr>
          <w:rFonts w:ascii="Arial" w:hAnsi="Arial" w:cs="Arial"/>
          <w:b/>
          <w:bCs/>
          <w:sz w:val="24"/>
          <w:szCs w:val="24"/>
        </w:rPr>
        <w:t xml:space="preserve"> [3]</w:t>
      </w:r>
      <w:r w:rsidRPr="007D7656">
        <w:rPr>
          <w:rFonts w:ascii="Arial" w:hAnsi="Arial" w:cs="Arial"/>
          <w:b/>
          <w:bCs/>
          <w:sz w:val="24"/>
          <w:szCs w:val="24"/>
        </w:rPr>
        <w:t>, Itaim Paulista</w:t>
      </w:r>
      <w:r w:rsidR="00CB2173">
        <w:rPr>
          <w:rFonts w:ascii="Arial" w:hAnsi="Arial" w:cs="Arial"/>
          <w:b/>
          <w:bCs/>
          <w:sz w:val="24"/>
          <w:szCs w:val="24"/>
        </w:rPr>
        <w:t xml:space="preserve">. </w:t>
      </w:r>
      <w:r w:rsidRPr="007D7656">
        <w:rPr>
          <w:rFonts w:ascii="Arial" w:hAnsi="Arial" w:cs="Arial"/>
          <w:sz w:val="24"/>
          <w:szCs w:val="24"/>
        </w:rPr>
        <w:t>Estudo da área envoltória da escola Hellio Tavares, no Conjunto Encosta Norte. O edifício</w:t>
      </w:r>
      <w:r>
        <w:rPr>
          <w:rFonts w:ascii="Arial" w:hAnsi="Arial" w:cs="Arial"/>
          <w:sz w:val="24"/>
          <w:szCs w:val="24"/>
        </w:rPr>
        <w:t>-</w:t>
      </w:r>
      <w:r w:rsidRPr="007D7656">
        <w:rPr>
          <w:rFonts w:ascii="Arial" w:hAnsi="Arial" w:cs="Arial"/>
          <w:sz w:val="24"/>
          <w:szCs w:val="24"/>
        </w:rPr>
        <w:t>padrão foi adaptado para acesso pelo terceiro pavimento</w:t>
      </w:r>
      <w:r>
        <w:rPr>
          <w:rFonts w:ascii="Arial" w:hAnsi="Arial" w:cs="Arial"/>
          <w:sz w:val="24"/>
          <w:szCs w:val="24"/>
        </w:rPr>
        <w:t>, com acesso</w:t>
      </w:r>
      <w:r w:rsidRPr="007D7656">
        <w:rPr>
          <w:rFonts w:ascii="Arial" w:hAnsi="Arial" w:cs="Arial"/>
          <w:sz w:val="24"/>
          <w:szCs w:val="24"/>
        </w:rPr>
        <w:t xml:space="preserve"> de estacionamento pela rua posterior, na cota inferior. </w:t>
      </w:r>
      <w:r>
        <w:rPr>
          <w:rFonts w:ascii="Arial" w:hAnsi="Arial" w:cs="Arial"/>
          <w:sz w:val="24"/>
          <w:szCs w:val="24"/>
        </w:rPr>
        <w:t xml:space="preserve">Faz </w:t>
      </w:r>
      <w:r w:rsidRPr="007D7656">
        <w:rPr>
          <w:rFonts w:ascii="Arial" w:hAnsi="Arial" w:cs="Arial"/>
          <w:sz w:val="24"/>
          <w:szCs w:val="24"/>
        </w:rPr>
        <w:t xml:space="preserve">divisa lateral </w:t>
      </w:r>
      <w:r>
        <w:rPr>
          <w:rFonts w:ascii="Arial" w:hAnsi="Arial" w:cs="Arial"/>
          <w:sz w:val="24"/>
          <w:szCs w:val="24"/>
        </w:rPr>
        <w:t xml:space="preserve">com </w:t>
      </w:r>
      <w:r w:rsidRPr="007D7656">
        <w:rPr>
          <w:rFonts w:ascii="Arial" w:hAnsi="Arial" w:cs="Arial"/>
          <w:sz w:val="24"/>
          <w:szCs w:val="24"/>
        </w:rPr>
        <w:t xml:space="preserve">uma viela que compõe um sistema de circulação peatonal que corta o conjunto. Aos fundos, uma área verde foi </w:t>
      </w:r>
      <w:r w:rsidR="00CB2173">
        <w:rPr>
          <w:rFonts w:ascii="Arial" w:hAnsi="Arial" w:cs="Arial"/>
          <w:sz w:val="24"/>
          <w:szCs w:val="24"/>
        </w:rPr>
        <w:t>recentemente</w:t>
      </w:r>
      <w:r w:rsidRPr="007D7656">
        <w:rPr>
          <w:rFonts w:ascii="Arial" w:hAnsi="Arial" w:cs="Arial"/>
          <w:sz w:val="24"/>
          <w:szCs w:val="24"/>
        </w:rPr>
        <w:t xml:space="preserve"> incorporada ao lote da escola.</w:t>
      </w:r>
      <w:r>
        <w:rPr>
          <w:rFonts w:ascii="Arial" w:hAnsi="Arial" w:cs="Arial"/>
          <w:sz w:val="24"/>
          <w:szCs w:val="24"/>
        </w:rPr>
        <w:t xml:space="preserve"> Foram identificados</w:t>
      </w:r>
      <w:r w:rsidRPr="007D7656">
        <w:rPr>
          <w:rFonts w:ascii="Arial" w:hAnsi="Arial" w:cs="Arial"/>
          <w:sz w:val="24"/>
          <w:szCs w:val="24"/>
        </w:rPr>
        <w:t xml:space="preserve"> pontos de destaque</w:t>
      </w:r>
      <w:r w:rsidR="00CB2173">
        <w:rPr>
          <w:rFonts w:ascii="Arial" w:hAnsi="Arial" w:cs="Arial"/>
          <w:sz w:val="24"/>
          <w:szCs w:val="24"/>
        </w:rPr>
        <w:t>:</w:t>
      </w:r>
      <w:r w:rsidRPr="007D7656">
        <w:rPr>
          <w:rFonts w:ascii="Arial" w:hAnsi="Arial" w:cs="Arial"/>
          <w:sz w:val="24"/>
          <w:szCs w:val="24"/>
        </w:rPr>
        <w:t xml:space="preserve"> </w:t>
      </w:r>
      <w:r>
        <w:rPr>
          <w:rFonts w:ascii="Arial" w:hAnsi="Arial" w:cs="Arial"/>
          <w:sz w:val="24"/>
          <w:szCs w:val="24"/>
        </w:rPr>
        <w:t>como</w:t>
      </w:r>
      <w:r w:rsidRPr="007D7656">
        <w:rPr>
          <w:rFonts w:ascii="Arial" w:hAnsi="Arial" w:cs="Arial"/>
          <w:sz w:val="24"/>
          <w:szCs w:val="24"/>
        </w:rPr>
        <w:t xml:space="preserve"> grafites, área de descarte, mirante, fluxos, etc.</w:t>
      </w:r>
    </w:p>
    <w:p w14:paraId="3ADE7FE1" w14:textId="48D93668" w:rsidR="008301D4" w:rsidRDefault="006516C9" w:rsidP="00EF61C6">
      <w:pPr>
        <w:rPr>
          <w:rFonts w:ascii="Arial" w:hAnsi="Arial" w:cs="Arial"/>
          <w:sz w:val="24"/>
          <w:szCs w:val="24"/>
        </w:rPr>
      </w:pPr>
      <w:r>
        <w:rPr>
          <w:rFonts w:ascii="Arial" w:hAnsi="Arial" w:cs="Arial"/>
          <w:b/>
          <w:bCs/>
          <w:sz w:val="24"/>
          <w:szCs w:val="24"/>
        </w:rPr>
        <w:lastRenderedPageBreak/>
        <w:t>CONCLUSÕES</w:t>
      </w:r>
      <w:r w:rsidR="008301D4" w:rsidRPr="008301D4">
        <w:rPr>
          <w:rFonts w:ascii="Arial" w:hAnsi="Arial" w:cs="Arial"/>
          <w:sz w:val="24"/>
          <w:szCs w:val="24"/>
        </w:rPr>
        <w:drawing>
          <wp:anchor distT="0" distB="0" distL="114300" distR="114300" simplePos="0" relativeHeight="251661312" behindDoc="0" locked="0" layoutInCell="1" allowOverlap="1" wp14:anchorId="544CC617" wp14:editId="500902FB">
            <wp:simplePos x="0" y="0"/>
            <wp:positionH relativeFrom="column">
              <wp:posOffset>0</wp:posOffset>
            </wp:positionH>
            <wp:positionV relativeFrom="paragraph">
              <wp:posOffset>14738985</wp:posOffset>
            </wp:positionV>
            <wp:extent cx="5400040" cy="4940935"/>
            <wp:effectExtent l="0" t="0" r="0" b="0"/>
            <wp:wrapNone/>
            <wp:docPr id="12" name="Imagem 11" descr="Mapa&#10;&#10;Descrição gerada automaticamente">
              <a:extLst xmlns:a="http://schemas.openxmlformats.org/drawingml/2006/main">
                <a:ext uri="{FF2B5EF4-FFF2-40B4-BE49-F238E27FC236}">
                  <a16:creationId xmlns:a16="http://schemas.microsoft.com/office/drawing/2014/main" id="{4351326A-E571-8ECD-1CB3-09049A97F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descr="Mapa&#10;&#10;Descrição gerada automaticamente">
                      <a:extLst>
                        <a:ext uri="{FF2B5EF4-FFF2-40B4-BE49-F238E27FC236}">
                          <a16:creationId xmlns:a16="http://schemas.microsoft.com/office/drawing/2014/main" id="{4351326A-E571-8ECD-1CB3-09049A97F2EA}"/>
                        </a:ext>
                      </a:extLst>
                    </pic:cNvPr>
                    <pic:cNvPicPr>
                      <a:picLocks noChangeAspect="1"/>
                    </pic:cNvPicPr>
                  </pic:nvPicPr>
                  <pic:blipFill>
                    <a:blip r:embed="rId4"/>
                    <a:srcRect l="44188" t="23272" r="13475" b="7823"/>
                    <a:stretch/>
                  </pic:blipFill>
                  <pic:spPr>
                    <a:xfrm>
                      <a:off x="0" y="0"/>
                      <a:ext cx="5400040" cy="4940935"/>
                    </a:xfrm>
                    <a:prstGeom prst="rect">
                      <a:avLst/>
                    </a:prstGeom>
                  </pic:spPr>
                </pic:pic>
              </a:graphicData>
            </a:graphic>
          </wp:anchor>
        </w:drawing>
      </w:r>
    </w:p>
    <w:p w14:paraId="62E1F23B" w14:textId="77777777" w:rsidR="00CB2173" w:rsidRDefault="00CB2173" w:rsidP="00CB2173">
      <w:pPr>
        <w:jc w:val="both"/>
        <w:rPr>
          <w:rFonts w:ascii="Arial" w:hAnsi="Arial" w:cs="Arial"/>
          <w:sz w:val="24"/>
          <w:szCs w:val="24"/>
        </w:rPr>
      </w:pPr>
      <w:r w:rsidRPr="00CB2173">
        <w:rPr>
          <w:rFonts w:ascii="Arial" w:hAnsi="Arial" w:cs="Arial"/>
          <w:sz w:val="24"/>
          <w:szCs w:val="24"/>
        </w:rPr>
        <w:t>Avaliando os três trabalhos, nota-se a presença de áreas livres verdes em processo de ocupação por populações vulneráveis, gerando áreas de risco e diminuição dos espaços permeáveis disponíveis. Além disso, há inúmeros pontos de descarte de lixo, falta de acessibilidade nas calçadas, iluminação pública ausente ou insuficiente e, por vezes, falta de pavimentação na via. Conclui-se que a caminhabilidade está comprometida nos três recortes estudados.</w:t>
      </w:r>
    </w:p>
    <w:p w14:paraId="78629BC7" w14:textId="2E147BE6" w:rsidR="00CB2173" w:rsidRPr="00CB2173" w:rsidRDefault="00CB2173" w:rsidP="00CB2173">
      <w:pPr>
        <w:jc w:val="both"/>
        <w:rPr>
          <w:rFonts w:ascii="Arial" w:hAnsi="Arial" w:cs="Arial"/>
          <w:sz w:val="24"/>
          <w:szCs w:val="24"/>
        </w:rPr>
      </w:pPr>
      <w:r w:rsidRPr="00CB2173">
        <w:rPr>
          <w:rFonts w:ascii="Arial" w:hAnsi="Arial" w:cs="Arial"/>
          <w:sz w:val="24"/>
          <w:szCs w:val="24"/>
        </w:rPr>
        <w:t xml:space="preserve"> </w:t>
      </w:r>
    </w:p>
    <w:p w14:paraId="7F4C1748" w14:textId="47BEA8E8" w:rsidR="00EF61C6" w:rsidRPr="00EF61C6" w:rsidRDefault="00EF61C6" w:rsidP="00EF61C6">
      <w:pPr>
        <w:rPr>
          <w:rFonts w:ascii="Arial" w:hAnsi="Arial" w:cs="Arial"/>
          <w:b/>
          <w:bCs/>
          <w:sz w:val="24"/>
          <w:szCs w:val="24"/>
        </w:rPr>
      </w:pPr>
      <w:r w:rsidRPr="00EF61C6">
        <w:rPr>
          <w:rFonts w:ascii="Arial" w:hAnsi="Arial" w:cs="Arial"/>
          <w:b/>
          <w:bCs/>
          <w:sz w:val="24"/>
          <w:szCs w:val="24"/>
        </w:rPr>
        <w:t>Referências Bibliográficas</w:t>
      </w:r>
    </w:p>
    <w:p w14:paraId="25261A6C" w14:textId="39B26861" w:rsidR="00EF61C6" w:rsidRPr="00EF61C6" w:rsidRDefault="00EF61C6" w:rsidP="00EF61C6">
      <w:pPr>
        <w:rPr>
          <w:rFonts w:ascii="Arial" w:hAnsi="Arial" w:cs="Arial"/>
          <w:sz w:val="24"/>
          <w:szCs w:val="24"/>
        </w:rPr>
      </w:pPr>
      <w:r w:rsidRPr="00EF61C6">
        <w:rPr>
          <w:rFonts w:ascii="Arial" w:hAnsi="Arial" w:cs="Arial"/>
          <w:sz w:val="24"/>
          <w:szCs w:val="24"/>
        </w:rPr>
        <w:t>APPLEYARD, D. Livable streets. Berkeley: University of California Press, 1981.</w:t>
      </w:r>
    </w:p>
    <w:p w14:paraId="71DB49F0" w14:textId="75B157F3" w:rsidR="00EF61C6" w:rsidRPr="00EF61C6" w:rsidRDefault="00EF61C6" w:rsidP="00EF61C6">
      <w:pPr>
        <w:rPr>
          <w:rFonts w:ascii="Arial" w:hAnsi="Arial" w:cs="Arial"/>
          <w:sz w:val="24"/>
          <w:szCs w:val="24"/>
        </w:rPr>
      </w:pPr>
      <w:r w:rsidRPr="00EF61C6">
        <w:rPr>
          <w:rFonts w:ascii="Arial" w:hAnsi="Arial" w:cs="Arial"/>
          <w:sz w:val="24"/>
          <w:szCs w:val="24"/>
        </w:rPr>
        <w:t>CULLEN, G. Paisagem Urbana. São Paulo: Martins Fontes, 1971.</w:t>
      </w:r>
    </w:p>
    <w:p w14:paraId="02924F37" w14:textId="7DA34BA6" w:rsidR="00EF61C6" w:rsidRPr="00EF61C6" w:rsidRDefault="00EF61C6" w:rsidP="00EF61C6">
      <w:pPr>
        <w:rPr>
          <w:rFonts w:ascii="Arial" w:hAnsi="Arial" w:cs="Arial"/>
          <w:sz w:val="24"/>
          <w:szCs w:val="24"/>
        </w:rPr>
      </w:pPr>
      <w:r w:rsidRPr="00EF61C6">
        <w:rPr>
          <w:rFonts w:ascii="Arial" w:hAnsi="Arial" w:cs="Arial"/>
          <w:sz w:val="24"/>
          <w:szCs w:val="24"/>
        </w:rPr>
        <w:t>EWING, R., BARTHOLOMEW, K. Pedestrian &amp; transit-oriented design. Washington: ULI, 2013.</w:t>
      </w:r>
    </w:p>
    <w:p w14:paraId="088A847B" w14:textId="77777777" w:rsidR="00EF61C6" w:rsidRPr="00EF61C6" w:rsidRDefault="00EF61C6" w:rsidP="00EF61C6">
      <w:pPr>
        <w:rPr>
          <w:rFonts w:ascii="Arial" w:hAnsi="Arial" w:cs="Arial"/>
          <w:sz w:val="24"/>
          <w:szCs w:val="24"/>
        </w:rPr>
      </w:pPr>
      <w:r w:rsidRPr="00EF61C6">
        <w:rPr>
          <w:rFonts w:ascii="Arial" w:hAnsi="Arial" w:cs="Arial"/>
          <w:sz w:val="24"/>
          <w:szCs w:val="24"/>
        </w:rPr>
        <w:t>FARR, D. Urbanismo sustentável. Porto Alegre: Bookman, 2013,</w:t>
      </w:r>
    </w:p>
    <w:p w14:paraId="0BB1D165" w14:textId="77777777" w:rsidR="00EF61C6" w:rsidRPr="00EF61C6" w:rsidRDefault="00EF61C6" w:rsidP="00EF61C6">
      <w:pPr>
        <w:rPr>
          <w:rFonts w:ascii="Arial" w:hAnsi="Arial" w:cs="Arial"/>
          <w:sz w:val="24"/>
          <w:szCs w:val="24"/>
        </w:rPr>
      </w:pPr>
      <w:r w:rsidRPr="00EF61C6">
        <w:rPr>
          <w:rFonts w:ascii="Arial" w:hAnsi="Arial" w:cs="Arial"/>
          <w:sz w:val="24"/>
          <w:szCs w:val="24"/>
        </w:rPr>
        <w:t>GEHL, J. Cidades para pessoas, São Paulo: Perspectiva 2013.</w:t>
      </w:r>
    </w:p>
    <w:p w14:paraId="798AE98D" w14:textId="77777777" w:rsidR="00EF61C6" w:rsidRPr="00EF61C6" w:rsidRDefault="00EF61C6" w:rsidP="00EF61C6">
      <w:pPr>
        <w:rPr>
          <w:rFonts w:ascii="Arial" w:hAnsi="Arial" w:cs="Arial"/>
          <w:sz w:val="24"/>
          <w:szCs w:val="24"/>
        </w:rPr>
      </w:pPr>
      <w:r w:rsidRPr="00EF61C6">
        <w:rPr>
          <w:rFonts w:ascii="Arial" w:hAnsi="Arial" w:cs="Arial"/>
          <w:sz w:val="24"/>
          <w:szCs w:val="24"/>
        </w:rPr>
        <w:t>JACOBS, J. Morte e vida das grandes cidades. São Paulo: Martins Fontes, 2011</w:t>
      </w:r>
    </w:p>
    <w:p w14:paraId="5890AB96" w14:textId="77777777" w:rsidR="00EF61C6" w:rsidRDefault="00EF61C6" w:rsidP="00EF61C6">
      <w:pPr>
        <w:rPr>
          <w:rFonts w:ascii="Arial" w:hAnsi="Arial" w:cs="Arial"/>
          <w:sz w:val="24"/>
          <w:szCs w:val="24"/>
        </w:rPr>
      </w:pPr>
      <w:r w:rsidRPr="00EF61C6">
        <w:rPr>
          <w:rFonts w:ascii="Arial" w:hAnsi="Arial" w:cs="Arial"/>
          <w:sz w:val="24"/>
          <w:szCs w:val="24"/>
        </w:rPr>
        <w:t>LYNCH, K. A imagem da cidade. São Paulo: Martins Fontes, 2018.</w:t>
      </w:r>
    </w:p>
    <w:p w14:paraId="3FCFC66A" w14:textId="59F4B821" w:rsidR="00CB2173" w:rsidRDefault="00CB2173" w:rsidP="00EF61C6">
      <w:pPr>
        <w:rPr>
          <w:rFonts w:ascii="Arial" w:hAnsi="Arial" w:cs="Arial"/>
          <w:sz w:val="24"/>
          <w:szCs w:val="24"/>
        </w:rPr>
      </w:pPr>
      <w:r w:rsidRPr="00CB2173">
        <w:rPr>
          <w:rFonts w:ascii="Arial" w:hAnsi="Arial" w:cs="Arial"/>
          <w:sz w:val="24"/>
          <w:szCs w:val="24"/>
        </w:rPr>
        <w:t>SPECK, J. Walkable city: how downtown can save America, one step at a time. New York: North Point Press, 2012.</w:t>
      </w:r>
    </w:p>
    <w:p w14:paraId="2DF03FD7" w14:textId="77777777" w:rsidR="00CB2173" w:rsidRDefault="00CB2173" w:rsidP="00EF61C6">
      <w:pPr>
        <w:rPr>
          <w:rFonts w:ascii="Arial" w:hAnsi="Arial" w:cs="Arial"/>
          <w:sz w:val="24"/>
          <w:szCs w:val="24"/>
        </w:rPr>
      </w:pPr>
    </w:p>
    <w:p w14:paraId="1B60436B" w14:textId="5AF5484B" w:rsidR="00CB2173" w:rsidRPr="00EF61C6" w:rsidRDefault="00CB2173" w:rsidP="00EF61C6">
      <w:pPr>
        <w:rPr>
          <w:rFonts w:ascii="Arial" w:hAnsi="Arial" w:cs="Arial"/>
          <w:b/>
          <w:bCs/>
          <w:sz w:val="24"/>
          <w:szCs w:val="24"/>
        </w:rPr>
      </w:pPr>
      <w:r w:rsidRPr="00CB2173">
        <w:rPr>
          <w:rFonts w:ascii="Arial" w:hAnsi="Arial" w:cs="Arial"/>
          <w:b/>
          <w:bCs/>
          <w:sz w:val="24"/>
          <w:szCs w:val="24"/>
        </w:rPr>
        <w:t>FOMENTO</w:t>
      </w:r>
    </w:p>
    <w:p w14:paraId="338E4D8F" w14:textId="04EC65BB" w:rsidR="00690A99" w:rsidRPr="00EF61C6" w:rsidRDefault="00073E21">
      <w:pPr>
        <w:rPr>
          <w:rFonts w:ascii="Arial" w:hAnsi="Arial" w:cs="Arial"/>
          <w:sz w:val="24"/>
          <w:szCs w:val="24"/>
        </w:rPr>
      </w:pPr>
      <w:r>
        <w:rPr>
          <w:rFonts w:ascii="Arial" w:hAnsi="Arial" w:cs="Arial"/>
          <w:sz w:val="24"/>
          <w:szCs w:val="24"/>
        </w:rPr>
        <w:t>Agradecimento ao programa Pró-Ciência e Instituto Anima.</w:t>
      </w:r>
    </w:p>
    <w:sectPr w:rsidR="00690A99" w:rsidRPr="00EF61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C6"/>
    <w:rsid w:val="000545B6"/>
    <w:rsid w:val="00073E21"/>
    <w:rsid w:val="001A4871"/>
    <w:rsid w:val="00554389"/>
    <w:rsid w:val="006516C9"/>
    <w:rsid w:val="00690A99"/>
    <w:rsid w:val="007D7656"/>
    <w:rsid w:val="008301D4"/>
    <w:rsid w:val="00A403EB"/>
    <w:rsid w:val="00C542A8"/>
    <w:rsid w:val="00CB2173"/>
    <w:rsid w:val="00EF61C6"/>
    <w:rsid w:val="00F773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1C1F7"/>
  <w15:chartTrackingRefBased/>
  <w15:docId w15:val="{72E6E133-7E41-4B79-8AE2-E39FBEF6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F61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EF61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EF61C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EF61C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EF61C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EF61C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EF61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F61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F61C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61C6"/>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EF61C6"/>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EF61C6"/>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EF61C6"/>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EF61C6"/>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EF61C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F61C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F61C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F61C6"/>
    <w:rPr>
      <w:rFonts w:eastAsiaTheme="majorEastAsia" w:cstheme="majorBidi"/>
      <w:color w:val="272727" w:themeColor="text1" w:themeTint="D8"/>
    </w:rPr>
  </w:style>
  <w:style w:type="paragraph" w:styleId="Ttulo">
    <w:name w:val="Title"/>
    <w:basedOn w:val="Normal"/>
    <w:next w:val="Normal"/>
    <w:link w:val="TtuloChar"/>
    <w:uiPriority w:val="10"/>
    <w:qFormat/>
    <w:rsid w:val="00EF6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F61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F61C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EF61C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EF61C6"/>
    <w:pPr>
      <w:spacing w:before="160"/>
      <w:jc w:val="center"/>
    </w:pPr>
    <w:rPr>
      <w:i/>
      <w:iCs/>
      <w:color w:val="404040" w:themeColor="text1" w:themeTint="BF"/>
    </w:rPr>
  </w:style>
  <w:style w:type="character" w:customStyle="1" w:styleId="CitaoChar">
    <w:name w:val="Citação Char"/>
    <w:basedOn w:val="Fontepargpadro"/>
    <w:link w:val="Citao"/>
    <w:uiPriority w:val="29"/>
    <w:rsid w:val="00EF61C6"/>
    <w:rPr>
      <w:i/>
      <w:iCs/>
      <w:color w:val="404040" w:themeColor="text1" w:themeTint="BF"/>
    </w:rPr>
  </w:style>
  <w:style w:type="paragraph" w:styleId="PargrafodaLista">
    <w:name w:val="List Paragraph"/>
    <w:basedOn w:val="Normal"/>
    <w:uiPriority w:val="34"/>
    <w:qFormat/>
    <w:rsid w:val="00EF61C6"/>
    <w:pPr>
      <w:ind w:left="720"/>
      <w:contextualSpacing/>
    </w:pPr>
  </w:style>
  <w:style w:type="character" w:styleId="nfaseIntensa">
    <w:name w:val="Intense Emphasis"/>
    <w:basedOn w:val="Fontepargpadro"/>
    <w:uiPriority w:val="21"/>
    <w:qFormat/>
    <w:rsid w:val="00EF61C6"/>
    <w:rPr>
      <w:i/>
      <w:iCs/>
      <w:color w:val="2F5496" w:themeColor="accent1" w:themeShade="BF"/>
    </w:rPr>
  </w:style>
  <w:style w:type="paragraph" w:styleId="CitaoIntensa">
    <w:name w:val="Intense Quote"/>
    <w:basedOn w:val="Normal"/>
    <w:next w:val="Normal"/>
    <w:link w:val="CitaoIntensaChar"/>
    <w:uiPriority w:val="30"/>
    <w:qFormat/>
    <w:rsid w:val="00EF61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EF61C6"/>
    <w:rPr>
      <w:i/>
      <w:iCs/>
      <w:color w:val="2F5496" w:themeColor="accent1" w:themeShade="BF"/>
    </w:rPr>
  </w:style>
  <w:style w:type="character" w:styleId="RefernciaIntensa">
    <w:name w:val="Intense Reference"/>
    <w:basedOn w:val="Fontepargpadro"/>
    <w:uiPriority w:val="32"/>
    <w:qFormat/>
    <w:rsid w:val="00EF61C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35367">
      <w:bodyDiv w:val="1"/>
      <w:marLeft w:val="0"/>
      <w:marRight w:val="0"/>
      <w:marTop w:val="0"/>
      <w:marBottom w:val="0"/>
      <w:divBdr>
        <w:top w:val="none" w:sz="0" w:space="0" w:color="auto"/>
        <w:left w:val="none" w:sz="0" w:space="0" w:color="auto"/>
        <w:bottom w:val="none" w:sz="0" w:space="0" w:color="auto"/>
        <w:right w:val="none" w:sz="0" w:space="0" w:color="auto"/>
      </w:divBdr>
    </w:div>
    <w:div w:id="762606702">
      <w:bodyDiv w:val="1"/>
      <w:marLeft w:val="0"/>
      <w:marRight w:val="0"/>
      <w:marTop w:val="0"/>
      <w:marBottom w:val="0"/>
      <w:divBdr>
        <w:top w:val="none" w:sz="0" w:space="0" w:color="auto"/>
        <w:left w:val="none" w:sz="0" w:space="0" w:color="auto"/>
        <w:bottom w:val="none" w:sz="0" w:space="0" w:color="auto"/>
        <w:right w:val="none" w:sz="0" w:space="0" w:color="auto"/>
      </w:divBdr>
    </w:div>
    <w:div w:id="1053427125">
      <w:bodyDiv w:val="1"/>
      <w:marLeft w:val="0"/>
      <w:marRight w:val="0"/>
      <w:marTop w:val="0"/>
      <w:marBottom w:val="0"/>
      <w:divBdr>
        <w:top w:val="none" w:sz="0" w:space="0" w:color="auto"/>
        <w:left w:val="none" w:sz="0" w:space="0" w:color="auto"/>
        <w:bottom w:val="none" w:sz="0" w:space="0" w:color="auto"/>
        <w:right w:val="none" w:sz="0" w:space="0" w:color="auto"/>
      </w:divBdr>
      <w:divsChild>
        <w:div w:id="1793817627">
          <w:marLeft w:val="0"/>
          <w:marRight w:val="0"/>
          <w:marTop w:val="0"/>
          <w:marBottom w:val="45"/>
          <w:divBdr>
            <w:top w:val="none" w:sz="0" w:space="0" w:color="auto"/>
            <w:left w:val="none" w:sz="0" w:space="0" w:color="auto"/>
            <w:bottom w:val="none" w:sz="0" w:space="0" w:color="auto"/>
            <w:right w:val="none" w:sz="0" w:space="0" w:color="auto"/>
          </w:divBdr>
          <w:divsChild>
            <w:div w:id="18592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02255">
      <w:bodyDiv w:val="1"/>
      <w:marLeft w:val="0"/>
      <w:marRight w:val="0"/>
      <w:marTop w:val="0"/>
      <w:marBottom w:val="0"/>
      <w:divBdr>
        <w:top w:val="none" w:sz="0" w:space="0" w:color="auto"/>
        <w:left w:val="none" w:sz="0" w:space="0" w:color="auto"/>
        <w:bottom w:val="none" w:sz="0" w:space="0" w:color="auto"/>
        <w:right w:val="none" w:sz="0" w:space="0" w:color="auto"/>
      </w:divBdr>
    </w:div>
    <w:div w:id="1357656876">
      <w:bodyDiv w:val="1"/>
      <w:marLeft w:val="0"/>
      <w:marRight w:val="0"/>
      <w:marTop w:val="0"/>
      <w:marBottom w:val="0"/>
      <w:divBdr>
        <w:top w:val="none" w:sz="0" w:space="0" w:color="auto"/>
        <w:left w:val="none" w:sz="0" w:space="0" w:color="auto"/>
        <w:bottom w:val="none" w:sz="0" w:space="0" w:color="auto"/>
        <w:right w:val="none" w:sz="0" w:space="0" w:color="auto"/>
      </w:divBdr>
    </w:div>
    <w:div w:id="1458530325">
      <w:bodyDiv w:val="1"/>
      <w:marLeft w:val="0"/>
      <w:marRight w:val="0"/>
      <w:marTop w:val="0"/>
      <w:marBottom w:val="0"/>
      <w:divBdr>
        <w:top w:val="none" w:sz="0" w:space="0" w:color="auto"/>
        <w:left w:val="none" w:sz="0" w:space="0" w:color="auto"/>
        <w:bottom w:val="none" w:sz="0" w:space="0" w:color="auto"/>
        <w:right w:val="none" w:sz="0" w:space="0" w:color="auto"/>
      </w:divBdr>
      <w:divsChild>
        <w:div w:id="844367221">
          <w:marLeft w:val="0"/>
          <w:marRight w:val="0"/>
          <w:marTop w:val="0"/>
          <w:marBottom w:val="45"/>
          <w:divBdr>
            <w:top w:val="none" w:sz="0" w:space="0" w:color="auto"/>
            <w:left w:val="none" w:sz="0" w:space="0" w:color="auto"/>
            <w:bottom w:val="none" w:sz="0" w:space="0" w:color="auto"/>
            <w:right w:val="none" w:sz="0" w:space="0" w:color="auto"/>
          </w:divBdr>
          <w:divsChild>
            <w:div w:id="14945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5790">
      <w:bodyDiv w:val="1"/>
      <w:marLeft w:val="0"/>
      <w:marRight w:val="0"/>
      <w:marTop w:val="0"/>
      <w:marBottom w:val="0"/>
      <w:divBdr>
        <w:top w:val="none" w:sz="0" w:space="0" w:color="auto"/>
        <w:left w:val="none" w:sz="0" w:space="0" w:color="auto"/>
        <w:bottom w:val="none" w:sz="0" w:space="0" w:color="auto"/>
        <w:right w:val="none" w:sz="0" w:space="0" w:color="auto"/>
      </w:divBdr>
    </w:div>
    <w:div w:id="1901205605">
      <w:bodyDiv w:val="1"/>
      <w:marLeft w:val="0"/>
      <w:marRight w:val="0"/>
      <w:marTop w:val="0"/>
      <w:marBottom w:val="0"/>
      <w:divBdr>
        <w:top w:val="none" w:sz="0" w:space="0" w:color="auto"/>
        <w:left w:val="none" w:sz="0" w:space="0" w:color="auto"/>
        <w:bottom w:val="none" w:sz="0" w:space="0" w:color="auto"/>
        <w:right w:val="none" w:sz="0" w:space="0" w:color="auto"/>
      </w:divBdr>
      <w:divsChild>
        <w:div w:id="2124691603">
          <w:marLeft w:val="0"/>
          <w:marRight w:val="0"/>
          <w:marTop w:val="0"/>
          <w:marBottom w:val="45"/>
          <w:divBdr>
            <w:top w:val="none" w:sz="0" w:space="0" w:color="auto"/>
            <w:left w:val="none" w:sz="0" w:space="0" w:color="auto"/>
            <w:bottom w:val="none" w:sz="0" w:space="0" w:color="auto"/>
            <w:right w:val="none" w:sz="0" w:space="0" w:color="auto"/>
          </w:divBdr>
        </w:div>
        <w:div w:id="276453347">
          <w:marLeft w:val="0"/>
          <w:marRight w:val="0"/>
          <w:marTop w:val="0"/>
          <w:marBottom w:val="45"/>
          <w:divBdr>
            <w:top w:val="none" w:sz="0" w:space="0" w:color="auto"/>
            <w:left w:val="none" w:sz="0" w:space="0" w:color="auto"/>
            <w:bottom w:val="none" w:sz="0" w:space="0" w:color="auto"/>
            <w:right w:val="none" w:sz="0" w:space="0" w:color="auto"/>
          </w:divBdr>
          <w:divsChild>
            <w:div w:id="1776359980">
              <w:marLeft w:val="0"/>
              <w:marRight w:val="0"/>
              <w:marTop w:val="0"/>
              <w:marBottom w:val="0"/>
              <w:divBdr>
                <w:top w:val="none" w:sz="0" w:space="0" w:color="auto"/>
                <w:left w:val="none" w:sz="0" w:space="0" w:color="auto"/>
                <w:bottom w:val="none" w:sz="0" w:space="0" w:color="auto"/>
                <w:right w:val="none" w:sz="0" w:space="0" w:color="auto"/>
              </w:divBdr>
            </w:div>
          </w:divsChild>
        </w:div>
        <w:div w:id="2112164823">
          <w:marLeft w:val="0"/>
          <w:marRight w:val="0"/>
          <w:marTop w:val="0"/>
          <w:marBottom w:val="45"/>
          <w:divBdr>
            <w:top w:val="none" w:sz="0" w:space="0" w:color="auto"/>
            <w:left w:val="none" w:sz="0" w:space="0" w:color="auto"/>
            <w:bottom w:val="none" w:sz="0" w:space="0" w:color="auto"/>
            <w:right w:val="none" w:sz="0" w:space="0" w:color="auto"/>
          </w:divBdr>
          <w:divsChild>
            <w:div w:id="1389262182">
              <w:marLeft w:val="0"/>
              <w:marRight w:val="0"/>
              <w:marTop w:val="0"/>
              <w:marBottom w:val="0"/>
              <w:divBdr>
                <w:top w:val="none" w:sz="0" w:space="0" w:color="auto"/>
                <w:left w:val="none" w:sz="0" w:space="0" w:color="auto"/>
                <w:bottom w:val="none" w:sz="0" w:space="0" w:color="auto"/>
                <w:right w:val="none" w:sz="0" w:space="0" w:color="auto"/>
              </w:divBdr>
            </w:div>
          </w:divsChild>
        </w:div>
        <w:div w:id="1923639902">
          <w:marLeft w:val="0"/>
          <w:marRight w:val="0"/>
          <w:marTop w:val="0"/>
          <w:marBottom w:val="45"/>
          <w:divBdr>
            <w:top w:val="none" w:sz="0" w:space="0" w:color="auto"/>
            <w:left w:val="none" w:sz="0" w:space="0" w:color="auto"/>
            <w:bottom w:val="none" w:sz="0" w:space="0" w:color="auto"/>
            <w:right w:val="none" w:sz="0" w:space="0" w:color="auto"/>
          </w:divBdr>
          <w:divsChild>
            <w:div w:id="898856554">
              <w:marLeft w:val="0"/>
              <w:marRight w:val="0"/>
              <w:marTop w:val="0"/>
              <w:marBottom w:val="0"/>
              <w:divBdr>
                <w:top w:val="none" w:sz="0" w:space="0" w:color="auto"/>
                <w:left w:val="none" w:sz="0" w:space="0" w:color="auto"/>
                <w:bottom w:val="none" w:sz="0" w:space="0" w:color="auto"/>
                <w:right w:val="none" w:sz="0" w:space="0" w:color="auto"/>
              </w:divBdr>
            </w:div>
          </w:divsChild>
        </w:div>
        <w:div w:id="1461193033">
          <w:marLeft w:val="0"/>
          <w:marRight w:val="0"/>
          <w:marTop w:val="0"/>
          <w:marBottom w:val="45"/>
          <w:divBdr>
            <w:top w:val="none" w:sz="0" w:space="0" w:color="auto"/>
            <w:left w:val="none" w:sz="0" w:space="0" w:color="auto"/>
            <w:bottom w:val="none" w:sz="0" w:space="0" w:color="auto"/>
            <w:right w:val="none" w:sz="0" w:space="0" w:color="auto"/>
          </w:divBdr>
          <w:divsChild>
            <w:div w:id="1033070942">
              <w:marLeft w:val="0"/>
              <w:marRight w:val="0"/>
              <w:marTop w:val="0"/>
              <w:marBottom w:val="0"/>
              <w:divBdr>
                <w:top w:val="none" w:sz="0" w:space="0" w:color="auto"/>
                <w:left w:val="none" w:sz="0" w:space="0" w:color="auto"/>
                <w:bottom w:val="none" w:sz="0" w:space="0" w:color="auto"/>
                <w:right w:val="none" w:sz="0" w:space="0" w:color="auto"/>
              </w:divBdr>
            </w:div>
          </w:divsChild>
        </w:div>
        <w:div w:id="504905602">
          <w:marLeft w:val="0"/>
          <w:marRight w:val="0"/>
          <w:marTop w:val="0"/>
          <w:marBottom w:val="45"/>
          <w:divBdr>
            <w:top w:val="none" w:sz="0" w:space="0" w:color="auto"/>
            <w:left w:val="none" w:sz="0" w:space="0" w:color="auto"/>
            <w:bottom w:val="none" w:sz="0" w:space="0" w:color="auto"/>
            <w:right w:val="none" w:sz="0" w:space="0" w:color="auto"/>
          </w:divBdr>
          <w:divsChild>
            <w:div w:id="10153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6240">
      <w:bodyDiv w:val="1"/>
      <w:marLeft w:val="0"/>
      <w:marRight w:val="0"/>
      <w:marTop w:val="0"/>
      <w:marBottom w:val="0"/>
      <w:divBdr>
        <w:top w:val="none" w:sz="0" w:space="0" w:color="auto"/>
        <w:left w:val="none" w:sz="0" w:space="0" w:color="auto"/>
        <w:bottom w:val="none" w:sz="0" w:space="0" w:color="auto"/>
        <w:right w:val="none" w:sz="0" w:space="0" w:color="auto"/>
      </w:divBdr>
      <w:divsChild>
        <w:div w:id="1086003880">
          <w:marLeft w:val="0"/>
          <w:marRight w:val="0"/>
          <w:marTop w:val="0"/>
          <w:marBottom w:val="45"/>
          <w:divBdr>
            <w:top w:val="none" w:sz="0" w:space="0" w:color="auto"/>
            <w:left w:val="none" w:sz="0" w:space="0" w:color="auto"/>
            <w:bottom w:val="none" w:sz="0" w:space="0" w:color="auto"/>
            <w:right w:val="none" w:sz="0" w:space="0" w:color="auto"/>
          </w:divBdr>
        </w:div>
        <w:div w:id="379322685">
          <w:marLeft w:val="0"/>
          <w:marRight w:val="0"/>
          <w:marTop w:val="0"/>
          <w:marBottom w:val="45"/>
          <w:divBdr>
            <w:top w:val="none" w:sz="0" w:space="0" w:color="auto"/>
            <w:left w:val="none" w:sz="0" w:space="0" w:color="auto"/>
            <w:bottom w:val="none" w:sz="0" w:space="0" w:color="auto"/>
            <w:right w:val="none" w:sz="0" w:space="0" w:color="auto"/>
          </w:divBdr>
          <w:divsChild>
            <w:div w:id="590703481">
              <w:marLeft w:val="0"/>
              <w:marRight w:val="0"/>
              <w:marTop w:val="0"/>
              <w:marBottom w:val="0"/>
              <w:divBdr>
                <w:top w:val="none" w:sz="0" w:space="0" w:color="auto"/>
                <w:left w:val="none" w:sz="0" w:space="0" w:color="auto"/>
                <w:bottom w:val="none" w:sz="0" w:space="0" w:color="auto"/>
                <w:right w:val="none" w:sz="0" w:space="0" w:color="auto"/>
              </w:divBdr>
            </w:div>
          </w:divsChild>
        </w:div>
        <w:div w:id="1878004559">
          <w:marLeft w:val="0"/>
          <w:marRight w:val="0"/>
          <w:marTop w:val="0"/>
          <w:marBottom w:val="45"/>
          <w:divBdr>
            <w:top w:val="none" w:sz="0" w:space="0" w:color="auto"/>
            <w:left w:val="none" w:sz="0" w:space="0" w:color="auto"/>
            <w:bottom w:val="none" w:sz="0" w:space="0" w:color="auto"/>
            <w:right w:val="none" w:sz="0" w:space="0" w:color="auto"/>
          </w:divBdr>
          <w:divsChild>
            <w:div w:id="457376117">
              <w:marLeft w:val="0"/>
              <w:marRight w:val="0"/>
              <w:marTop w:val="0"/>
              <w:marBottom w:val="0"/>
              <w:divBdr>
                <w:top w:val="none" w:sz="0" w:space="0" w:color="auto"/>
                <w:left w:val="none" w:sz="0" w:space="0" w:color="auto"/>
                <w:bottom w:val="none" w:sz="0" w:space="0" w:color="auto"/>
                <w:right w:val="none" w:sz="0" w:space="0" w:color="auto"/>
              </w:divBdr>
            </w:div>
          </w:divsChild>
        </w:div>
        <w:div w:id="1136336108">
          <w:marLeft w:val="0"/>
          <w:marRight w:val="0"/>
          <w:marTop w:val="0"/>
          <w:marBottom w:val="45"/>
          <w:divBdr>
            <w:top w:val="none" w:sz="0" w:space="0" w:color="auto"/>
            <w:left w:val="none" w:sz="0" w:space="0" w:color="auto"/>
            <w:bottom w:val="none" w:sz="0" w:space="0" w:color="auto"/>
            <w:right w:val="none" w:sz="0" w:space="0" w:color="auto"/>
          </w:divBdr>
          <w:divsChild>
            <w:div w:id="1560822437">
              <w:marLeft w:val="0"/>
              <w:marRight w:val="0"/>
              <w:marTop w:val="0"/>
              <w:marBottom w:val="0"/>
              <w:divBdr>
                <w:top w:val="none" w:sz="0" w:space="0" w:color="auto"/>
                <w:left w:val="none" w:sz="0" w:space="0" w:color="auto"/>
                <w:bottom w:val="none" w:sz="0" w:space="0" w:color="auto"/>
                <w:right w:val="none" w:sz="0" w:space="0" w:color="auto"/>
              </w:divBdr>
            </w:div>
          </w:divsChild>
        </w:div>
        <w:div w:id="949976602">
          <w:marLeft w:val="0"/>
          <w:marRight w:val="0"/>
          <w:marTop w:val="0"/>
          <w:marBottom w:val="45"/>
          <w:divBdr>
            <w:top w:val="none" w:sz="0" w:space="0" w:color="auto"/>
            <w:left w:val="none" w:sz="0" w:space="0" w:color="auto"/>
            <w:bottom w:val="none" w:sz="0" w:space="0" w:color="auto"/>
            <w:right w:val="none" w:sz="0" w:space="0" w:color="auto"/>
          </w:divBdr>
          <w:divsChild>
            <w:div w:id="292487493">
              <w:marLeft w:val="0"/>
              <w:marRight w:val="0"/>
              <w:marTop w:val="0"/>
              <w:marBottom w:val="0"/>
              <w:divBdr>
                <w:top w:val="none" w:sz="0" w:space="0" w:color="auto"/>
                <w:left w:val="none" w:sz="0" w:space="0" w:color="auto"/>
                <w:bottom w:val="none" w:sz="0" w:space="0" w:color="auto"/>
                <w:right w:val="none" w:sz="0" w:space="0" w:color="auto"/>
              </w:divBdr>
            </w:div>
          </w:divsChild>
        </w:div>
        <w:div w:id="2002587272">
          <w:marLeft w:val="0"/>
          <w:marRight w:val="0"/>
          <w:marTop w:val="0"/>
          <w:marBottom w:val="45"/>
          <w:divBdr>
            <w:top w:val="none" w:sz="0" w:space="0" w:color="auto"/>
            <w:left w:val="none" w:sz="0" w:space="0" w:color="auto"/>
            <w:bottom w:val="none" w:sz="0" w:space="0" w:color="auto"/>
            <w:right w:val="none" w:sz="0" w:space="0" w:color="auto"/>
          </w:divBdr>
          <w:divsChild>
            <w:div w:id="12678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1436</Words>
  <Characters>7757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IMBRONITO</dc:creator>
  <cp:keywords/>
  <dc:description/>
  <cp:lastModifiedBy>MARIA ISABEL IMBRONITO</cp:lastModifiedBy>
  <cp:revision>5</cp:revision>
  <cp:lastPrinted>2024-11-28T01:55:00Z</cp:lastPrinted>
  <dcterms:created xsi:type="dcterms:W3CDTF">2024-11-28T00:21:00Z</dcterms:created>
  <dcterms:modified xsi:type="dcterms:W3CDTF">2024-11-28T02:00:00Z</dcterms:modified>
</cp:coreProperties>
</file>