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7367">
      <w:pPr>
        <w:jc w:val="center"/>
        <w:rPr>
          <w:rFonts w:ascii="Arial" w:hAnsi="Arial" w:eastAsia="Arial" w:cs="Arial"/>
        </w:rPr>
      </w:pPr>
      <w:r>
        <w:rPr>
          <w:rFonts w:ascii="Arial" w:hAnsi="Arial" w:eastAsia="Arial" w:cs="Arial"/>
          <w:b/>
        </w:rPr>
        <w:t>RESUMO EXPANDIDO</w:t>
      </w:r>
    </w:p>
    <w:p w14:paraId="18DF2E75">
      <w:pPr>
        <w:jc w:val="center"/>
        <w:rPr>
          <w:rFonts w:ascii="Arial" w:hAnsi="Arial" w:eastAsia="Arial" w:cs="Arial"/>
          <w:b/>
        </w:rPr>
      </w:pPr>
      <w:bookmarkStart w:id="0" w:name="_GoBack"/>
      <w:r>
        <w:rPr>
          <w:rFonts w:ascii="Arial" w:hAnsi="Arial" w:eastAsia="Arial" w:cs="Arial"/>
          <w:b/>
        </w:rPr>
        <w:t>CORRELAÇÃO DAS CAPACIDADES FÍSICAS COM AS CAPACIDADES COGNITIVAS EM PESSOAS IDOSAS QUE VIVEM COM DIABETES MELLITUS TIPO 2</w:t>
      </w:r>
    </w:p>
    <w:bookmarkEnd w:id="0"/>
    <w:p w14:paraId="4505F188">
      <w:pPr>
        <w:jc w:val="center"/>
        <w:rPr>
          <w:rFonts w:ascii="Arial" w:hAnsi="Arial" w:eastAsia="Arial" w:cs="Arial"/>
        </w:rPr>
      </w:pPr>
      <w:r>
        <w:rPr>
          <w:rFonts w:ascii="Arial" w:hAnsi="Arial" w:eastAsia="Arial" w:cs="Arial"/>
        </w:rPr>
        <w:t>Mariana Andrade Ataíde</w:t>
      </w:r>
      <w:r>
        <w:rPr>
          <w:rFonts w:ascii="Arial" w:hAnsi="Arial" w:eastAsia="Arial" w:cs="Arial"/>
          <w:vertAlign w:val="superscript"/>
        </w:rPr>
        <w:t>1</w:t>
      </w:r>
      <w:r>
        <w:rPr>
          <w:rFonts w:ascii="Arial" w:hAnsi="Arial" w:eastAsia="Arial" w:cs="Arial"/>
        </w:rPr>
        <w:t>; Ana Carolina Giannuzzi Dyzarz da Silva²; Heloiza Godoy de Oliveira</w:t>
      </w:r>
      <w:r>
        <w:rPr>
          <w:rFonts w:ascii="Arial" w:hAnsi="Arial" w:eastAsia="Arial" w:cs="Arial"/>
          <w:vertAlign w:val="superscript"/>
        </w:rPr>
        <w:t>2</w:t>
      </w:r>
      <w:r>
        <w:rPr>
          <w:rFonts w:ascii="Arial" w:hAnsi="Arial" w:eastAsia="Arial" w:cs="Arial"/>
        </w:rPr>
        <w:t>; Letícia Balbino Soares</w:t>
      </w:r>
      <w:r>
        <w:rPr>
          <w:rFonts w:ascii="Arial" w:hAnsi="Arial" w:eastAsia="Arial" w:cs="Arial"/>
          <w:vertAlign w:val="superscript"/>
        </w:rPr>
        <w:t>2</w:t>
      </w:r>
      <w:r>
        <w:rPr>
          <w:rFonts w:ascii="Arial" w:hAnsi="Arial" w:eastAsia="Arial" w:cs="Arial"/>
        </w:rPr>
        <w:t>; Patricia Nemara Freitas de Souza Carneiro</w:t>
      </w:r>
      <w:r>
        <w:rPr>
          <w:rFonts w:ascii="Arial" w:hAnsi="Arial" w:eastAsia="Arial" w:cs="Arial"/>
          <w:vertAlign w:val="superscript"/>
        </w:rPr>
        <w:t>3</w:t>
      </w:r>
      <w:r>
        <w:rPr>
          <w:rFonts w:ascii="Arial" w:hAnsi="Arial" w:eastAsia="Arial" w:cs="Arial"/>
        </w:rPr>
        <w:t>; Prof. Dr. Guilherme Carlos Brech</w:t>
      </w:r>
      <w:r>
        <w:rPr>
          <w:rFonts w:ascii="Arial" w:hAnsi="Arial" w:eastAsia="Arial" w:cs="Arial"/>
          <w:vertAlign w:val="superscript"/>
        </w:rPr>
        <w:t xml:space="preserve">4 </w:t>
      </w:r>
      <w:r>
        <w:rPr>
          <w:rFonts w:ascii="Arial" w:hAnsi="Arial" w:eastAsia="Arial" w:cs="Arial"/>
        </w:rPr>
        <w:t>(orientador)</w:t>
      </w:r>
    </w:p>
    <w:p w14:paraId="100FBCA2">
      <w:pPr>
        <w:spacing w:line="240" w:lineRule="auto"/>
        <w:rPr>
          <w:rFonts w:ascii="Arial" w:hAnsi="Arial" w:cs="Arial"/>
        </w:rPr>
      </w:pPr>
      <w:r>
        <w:rPr>
          <w:rFonts w:ascii="Arial" w:hAnsi="Arial" w:cs="Arial"/>
        </w:rPr>
        <w:t>1 – Graduanda do Curso de Medicina da Universidade Anhembi Morumbi</w:t>
      </w:r>
    </w:p>
    <w:p w14:paraId="6B1139F0">
      <w:pPr>
        <w:spacing w:line="240" w:lineRule="auto"/>
        <w:rPr>
          <w:rFonts w:ascii="Arial" w:hAnsi="Arial" w:cs="Arial"/>
        </w:rPr>
      </w:pPr>
      <w:r>
        <w:rPr>
          <w:rFonts w:ascii="Arial" w:hAnsi="Arial" w:cs="Arial"/>
        </w:rPr>
        <w:t>2 – Graduanda do Curso de Fisioterapia da Universidade São Judas Tadeu</w:t>
      </w:r>
    </w:p>
    <w:p w14:paraId="1A59170D">
      <w:pPr>
        <w:spacing w:line="240" w:lineRule="auto"/>
        <w:rPr>
          <w:rFonts w:ascii="Arial" w:hAnsi="Arial" w:cs="Arial"/>
        </w:rPr>
      </w:pPr>
      <w:r>
        <w:rPr>
          <w:rFonts w:ascii="Arial" w:hAnsi="Arial" w:cs="Arial"/>
        </w:rPr>
        <w:t>3 – Tutora da Iniciação Científica e Mestranda pelo programa Stricto Sensu em Ciências do Envelhecimento da Universidade São Judas Tadeu</w:t>
      </w:r>
    </w:p>
    <w:p w14:paraId="1EB36E6D">
      <w:pPr>
        <w:spacing w:line="240" w:lineRule="auto"/>
        <w:rPr>
          <w:rFonts w:ascii="Arial" w:hAnsi="Arial" w:cs="Arial"/>
        </w:rPr>
      </w:pPr>
      <w:r>
        <w:rPr>
          <w:rFonts w:ascii="Arial" w:hAnsi="Arial" w:cs="Arial"/>
        </w:rPr>
        <w:t>4- Orientador da Iniciação Científica e Docente do programa Stricto Sensu em Ciências do Envelhecimento da Universidade São Judas Tadeu</w:t>
      </w:r>
    </w:p>
    <w:p w14:paraId="159D36B2"/>
    <w:p w14:paraId="46C45E9B">
      <w:pPr>
        <w:jc w:val="both"/>
        <w:rPr>
          <w:rFonts w:ascii="Arial" w:hAnsi="Arial" w:eastAsia="Arial" w:cs="Arial"/>
          <w:b/>
        </w:rPr>
      </w:pPr>
      <w:r>
        <w:rPr>
          <w:rFonts w:ascii="Arial" w:hAnsi="Arial" w:eastAsia="Arial" w:cs="Arial"/>
          <w:b/>
        </w:rPr>
        <w:t>RESUMO:</w:t>
      </w:r>
    </w:p>
    <w:p w14:paraId="766E2C48">
      <w:pPr>
        <w:spacing w:line="360" w:lineRule="auto"/>
        <w:jc w:val="both"/>
        <w:rPr>
          <w:rFonts w:ascii="Arial" w:hAnsi="Arial" w:eastAsia="Arial" w:cs="Arial"/>
        </w:rPr>
      </w:pPr>
      <w:r>
        <w:rPr>
          <w:rFonts w:ascii="Arial" w:hAnsi="Arial" w:eastAsia="Arial" w:cs="Arial"/>
        </w:rPr>
        <w:t>Este estudo tem como objetivo analisar a correlação entre as capacidades físicas e cognitivas em idosos que convivem com Diabete Mellitus tipo 2 (DMT2) e o impacto do envelhecimento nessas áreas. Utilizando o teste Moca para avaliar a capacidade cognitiva e os testes funcionais Time Up and Go, Hand Grip e Chair Rising Test para medir a capacidade física, a pesquisa mostrou que, neste grupo de idosos, não há nenhuma correlação significativa entre as variáveis de capacidade cognitiva e física. Embora alguns estudos tenham mostrado que a capacidade mental e física está relacionada, nossos resultados não mostram isso. Essa diferença sugere que é necessário verificar com mais cuidado como o envelhecimento e o DMT2 interferem na capacidade cognitiva e física, assim como outros fatores que possam desempenhar um papel importante nesta relação.</w:t>
      </w:r>
    </w:p>
    <w:p w14:paraId="7BA5CD66">
      <w:pPr>
        <w:jc w:val="both"/>
        <w:rPr>
          <w:rFonts w:ascii="Arial" w:hAnsi="Arial" w:eastAsia="Arial" w:cs="Arial"/>
        </w:rPr>
      </w:pPr>
    </w:p>
    <w:p w14:paraId="22C5BD04">
      <w:pPr>
        <w:spacing w:line="360" w:lineRule="auto"/>
        <w:jc w:val="both"/>
        <w:rPr>
          <w:rFonts w:ascii="Arial" w:hAnsi="Arial" w:eastAsia="Arial" w:cs="Arial"/>
        </w:rPr>
      </w:pPr>
      <w:r>
        <w:rPr>
          <w:rFonts w:ascii="Arial" w:hAnsi="Arial" w:eastAsia="Arial" w:cs="Arial"/>
          <w:b/>
        </w:rPr>
        <w:t xml:space="preserve">PALAVRAS-CHAVE: </w:t>
      </w:r>
      <w:r>
        <w:rPr>
          <w:rFonts w:ascii="Arial" w:hAnsi="Arial" w:eastAsia="Arial" w:cs="Arial"/>
        </w:rPr>
        <w:t>Envelhecimento, Diabetes Mellitus Tipo 2, Funcionamento Cognitivo, Atividade Física.</w:t>
      </w:r>
    </w:p>
    <w:p w14:paraId="16F0F8C7">
      <w:pPr>
        <w:spacing w:line="360" w:lineRule="auto"/>
        <w:jc w:val="both"/>
        <w:rPr>
          <w:rFonts w:ascii="Arial" w:hAnsi="Arial" w:eastAsia="Arial" w:cs="Arial"/>
        </w:rPr>
      </w:pPr>
    </w:p>
    <w:p w14:paraId="6181E0F4">
      <w:pPr>
        <w:jc w:val="both"/>
        <w:rPr>
          <w:rFonts w:ascii="Arial" w:hAnsi="Arial" w:eastAsia="Arial" w:cs="Arial"/>
          <w:b/>
        </w:rPr>
      </w:pPr>
      <w:r>
        <w:rPr>
          <w:rFonts w:ascii="Arial" w:hAnsi="Arial" w:eastAsia="Arial" w:cs="Arial"/>
          <w:b/>
        </w:rPr>
        <w:t xml:space="preserve">INTRODUÇÃO: </w:t>
      </w:r>
    </w:p>
    <w:p w14:paraId="4E9FD006">
      <w:pPr>
        <w:spacing w:line="360" w:lineRule="auto"/>
        <w:jc w:val="both"/>
        <w:rPr>
          <w:rFonts w:ascii="Arial" w:hAnsi="Arial" w:cs="Arial"/>
        </w:rPr>
      </w:pPr>
      <w:r>
        <w:rPr>
          <w:rFonts w:ascii="Arial" w:hAnsi="Arial" w:cs="Arial"/>
          <w:kern w:val="2"/>
          <w:lang w:eastAsia="zh-CN" w:bidi="ar"/>
        </w:rPr>
        <w:t>O envelhecimento é um processo natural e progressivo que acompanha o desenvolvimento humano. Na juventude, a maturidade é vista de forma positiva, simbolizando evolução e novas possibilidades (Freitas et al., 2010; Morando et al., 2018). Contudo, em idades mais avançadas, o envelhecimento tende a ser compreendido por meio de três dimensões principais: biológica, social e psicológica (Borges et al., 2017).</w:t>
      </w:r>
    </w:p>
    <w:p w14:paraId="63FC58C9">
      <w:pPr>
        <w:spacing w:line="360" w:lineRule="auto"/>
        <w:jc w:val="both"/>
        <w:rPr>
          <w:rFonts w:ascii="Arial" w:hAnsi="Arial" w:cs="Arial"/>
        </w:rPr>
      </w:pPr>
      <w:r>
        <w:rPr>
          <w:rFonts w:ascii="Arial" w:hAnsi="Arial" w:cs="Arial"/>
          <w:kern w:val="2"/>
          <w:lang w:eastAsia="zh-CN" w:bidi="ar"/>
        </w:rPr>
        <w:t>Do ponto de vista biológico, o envelhecimento envolve alterações moleculares e fisiológicas, resultando em uma redução progressiva das funções do organismo, que impactam cada indivíduo de maneira subjetiva (Scortegagna et al., 2015). Já na dimensão social, há uma aparência conhecida como “morte social”, caracterizada pela perda gradual de cargos, funções e valores acumulados ao longo da vida, prejudicando a autonomia e independência (Borges et al., 2017). Psicologicamente, essas mudanças podem levar a sentimentos de ansiedade, frustração e depressão, agravados por transições como aposentadoria e afastamento de círculos sociais (Silva et al., 2014).</w:t>
      </w:r>
    </w:p>
    <w:p w14:paraId="62E6F25B">
      <w:pPr>
        <w:spacing w:line="360" w:lineRule="auto"/>
        <w:jc w:val="both"/>
        <w:rPr>
          <w:rFonts w:ascii="Arial" w:hAnsi="Arial" w:cs="Arial"/>
        </w:rPr>
      </w:pPr>
      <w:r>
        <w:rPr>
          <w:rFonts w:ascii="Arial" w:hAnsi="Arial" w:cs="Arial"/>
          <w:kern w:val="2"/>
          <w:lang w:eastAsia="zh-CN" w:bidi="ar"/>
        </w:rPr>
        <w:t>Entre os idosos, o Diabetes Mellitus Tipo 2 (DMT2) é um dos principais fatores de morbidade e mortalidade, associado ao envelhecimento e à obesidade (Francisco et al., 2010). Essa condição pode afetar áreas cognitivas como memória, atenção e funções executivas, prejudicando habilidades essenciais para a qualidade de vida (Tirapu-Ustárroz &amp; Muñoz-Céspedes, 2005).</w:t>
      </w:r>
    </w:p>
    <w:p w14:paraId="50EC7702">
      <w:pPr>
        <w:spacing w:line="360" w:lineRule="auto"/>
        <w:jc w:val="both"/>
      </w:pPr>
      <w:r>
        <w:rPr>
          <w:rFonts w:ascii="Arial" w:hAnsi="Arial" w:cs="Arial"/>
          <w:kern w:val="2"/>
          <w:lang w:eastAsia="zh-CN" w:bidi="ar"/>
        </w:rPr>
        <w:t>A atividade física, nesse contexto, tem sido amplamente reconhecida como uma estratégia não medicamentosa para a promoção da saúde cognitiva e melhoria do controle glicêmico (Vaghetti et al., 2015; Guimarães, Rocha &amp; Barbosa, 2014). Revisões da literatura também indicam que aulas combinadas exercícios físicos e estímulos cognitivos são particularmente benéficas para idosos, promovendo melhor bem-estar (Sacramento &amp; Chariglione, 2019). Diante disso, este estudo objetivo investiga a relação entre capacidades físicas e cognitivas em idosos com DMT2, buscando contribuir para estratégias que melhorem sua qualidade de vida.</w:t>
      </w:r>
    </w:p>
    <w:p w14:paraId="1A9E5B6D">
      <w:pPr>
        <w:jc w:val="both"/>
        <w:rPr>
          <w:rFonts w:ascii="Arial" w:hAnsi="Arial" w:eastAsia="Arial" w:cs="Arial"/>
        </w:rPr>
      </w:pPr>
    </w:p>
    <w:p w14:paraId="482613F4">
      <w:pPr>
        <w:jc w:val="both"/>
        <w:rPr>
          <w:rFonts w:ascii="Arial" w:hAnsi="Arial" w:eastAsia="Arial" w:cs="Arial"/>
          <w:b/>
        </w:rPr>
      </w:pPr>
      <w:r>
        <w:rPr>
          <w:rFonts w:ascii="Arial" w:hAnsi="Arial" w:eastAsia="Arial" w:cs="Arial"/>
          <w:b/>
        </w:rPr>
        <w:t xml:space="preserve">MÉTODOS: </w:t>
      </w:r>
    </w:p>
    <w:p w14:paraId="77D849AF">
      <w:pPr>
        <w:spacing w:line="360" w:lineRule="auto"/>
        <w:jc w:val="both"/>
        <w:rPr>
          <w:rFonts w:ascii="Arial" w:hAnsi="Arial" w:cs="Arial"/>
        </w:rPr>
      </w:pPr>
      <w:r>
        <w:rPr>
          <w:rFonts w:ascii="Arial" w:hAnsi="Arial" w:cs="Arial"/>
          <w:kern w:val="2"/>
          <w:lang w:eastAsia="zh-CN" w:bidi="ar"/>
        </w:rPr>
        <w:t>Este é um estudo de delineamento transversal realizado no Laboratório de Estudo do Movimento (LEM) do Instituto de Ortopedia e Traumatologia (IOT) do Hospital das Clínicas (HC) da FMUSP, em parceria com a Universidade São Judas Tadeu (USJT). Aprovado pelo Comitê de Ética em Pesquisa da FMUSP (CAEE: 65614322.7.0000.0089, número: 6.117.563), contou com 25 participantes, entre 65 e 79 anos, relatórios com Diabetes Mellitus Tipo 2 (DMT2), remessas de encaminhamentos médicos do LEM. Os critérios de inclusão engloba: idade acima de 60 anos, diagnóstico de DMT2, independência nas atividades diárias e assinatura do Termo de Consentimento Livre e Esclarecido (TCLE). Foram excluídos participantes incapazes de realizar os testes ou sem diagnóstico de DMT2. Os instrumentos utilizados incluíram, Montreal Cognitive Assessment (Moca) para avaliação da saúde mental e Time Up and Go Test (TUGT), Teste de força de preensão palmar (Hand Grip) e o Teste Sentar e Levantar (Chair rising test) para avaliação da capacidade física. Os dados coletados foram analisados no software Jamovi 2.4.14, utilizando a demonstração de Spearman, com nível de significância de p &lt; 0,05.</w:t>
      </w:r>
    </w:p>
    <w:p w14:paraId="3F8FBACE">
      <w:pPr>
        <w:spacing w:line="360" w:lineRule="auto"/>
        <w:jc w:val="both"/>
        <w:rPr>
          <w:rFonts w:ascii="Arial" w:hAnsi="Arial" w:eastAsia="Arial" w:cs="Arial"/>
        </w:rPr>
      </w:pPr>
    </w:p>
    <w:p w14:paraId="07FE50D3">
      <w:pPr>
        <w:jc w:val="both"/>
        <w:rPr>
          <w:rFonts w:ascii="Arial" w:hAnsi="Arial" w:eastAsia="Arial" w:cs="Arial"/>
        </w:rPr>
      </w:pPr>
      <w:r>
        <w:rPr>
          <w:rFonts w:ascii="Arial" w:hAnsi="Arial" w:eastAsia="Arial" w:cs="Arial"/>
          <w:b/>
        </w:rPr>
        <w:t>RESULTADOS E DISCUSSÕES:</w:t>
      </w:r>
      <w:r>
        <w:rPr>
          <w:rFonts w:ascii="Arial" w:hAnsi="Arial" w:eastAsia="Arial" w:cs="Arial"/>
        </w:rPr>
        <w:t xml:space="preserve"> </w:t>
      </w:r>
    </w:p>
    <w:p w14:paraId="426F55EA">
      <w:pPr>
        <w:spacing w:line="360" w:lineRule="auto"/>
        <w:jc w:val="both"/>
        <w:rPr>
          <w:rFonts w:ascii="Arial" w:hAnsi="Arial" w:cs="Arial"/>
        </w:rPr>
      </w:pPr>
      <w:r>
        <w:rPr>
          <w:rFonts w:ascii="Arial" w:hAnsi="Arial" w:cs="Arial"/>
          <w:kern w:val="2"/>
          <w:lang w:eastAsia="zh-CN" w:bidi="ar"/>
        </w:rPr>
        <w:t>O estudo analisou 25 participantes com idade média de 72,24 anos, predominância de ensino superior (68%), casados ​​(72%) e brancos (80,80%). O tempo médio de diagnóstico de Diabetes Mellitus Tipo 2 (DMT2) foi de 17,40 anos, com níveis médios de glicose de 117,92 mg/dL e hemoglobina glicada de 6,68%. No teste MoCA, 73,1% apresentaram capacidade cognitiva normal. Estudos de Biessels e Whitmer (2020) indicam que pessoas com mais de 70 anos e DMT2 têm maior risco de declínio cognitivo devido a complicações microvasculares e inflamação crônica. Os testes físicos obtiveram resultados dentro do esperado para a faixa etária. O TUGT revelou tempos médios adequados, mas sem brilho significativo com os escores cognitivos, possivelmente influenciados por variáveis ​​como velocidade de processamento mental ou fatores individuais (BIESSELS  &amp; WHITMER, 2020). No teste de força de preensão palmar (FPP), a mão dominante apresentou tendência de melhor desempenho associada a menor cognição, enquanto a mão não dominante mostrou uma visão negativa fraca, ambas sem significância estatística. A literatura sugere que condições como sarcopenia ou neuropatias periféricas relacionadas ao DMT2 podem impactar tanto a FPP quanto a cognição, exigindo modelos mais complexos para elucidar essas interações (VAGHETTIet al., 2015). No teste de sentar e levantar, os participantes alcançaram uma média de 12,46 repetições, diminuindo boa capacidade funcional. Entretanto, a ausência entre funcionalidade física e cognição reforça a ideia de que fatores físicos isolados podem não ser preditores significativos do desempenho cognitivo em idosos com DMT2 (SCORTEGAGNAS et al., 2015). Embora Guimarães et al. (2014) sugiram que a atividade física pode melhorar a cognição, este estudo não inclui uma conexão significativa entre habilidades cognitivas e testes físicos, destacando a complexidade dessa relação e a influência de variáveis.</w:t>
      </w:r>
    </w:p>
    <w:p w14:paraId="443FD2BE">
      <w:pPr>
        <w:spacing w:line="360" w:lineRule="auto"/>
        <w:jc w:val="both"/>
        <w:rPr>
          <w:rFonts w:ascii="Arial" w:hAnsi="Arial" w:eastAsia="Arial" w:cs="Arial"/>
        </w:rPr>
      </w:pPr>
    </w:p>
    <w:p w14:paraId="5F84899B">
      <w:pPr>
        <w:jc w:val="both"/>
        <w:rPr>
          <w:rFonts w:ascii="Arial" w:hAnsi="Arial" w:eastAsia="Arial" w:cs="Arial"/>
          <w:b/>
        </w:rPr>
      </w:pPr>
      <w:r>
        <w:rPr>
          <w:rFonts w:ascii="Arial" w:hAnsi="Arial" w:eastAsia="Arial" w:cs="Arial"/>
          <w:b/>
        </w:rPr>
        <w:t>CONCLUSÕES</w:t>
      </w:r>
    </w:p>
    <w:p w14:paraId="7A9FDD31">
      <w:pPr>
        <w:spacing w:line="360" w:lineRule="auto"/>
        <w:jc w:val="both"/>
        <w:rPr>
          <w:rFonts w:ascii="Arial" w:hAnsi="Arial" w:eastAsia="Arial" w:cs="Arial"/>
        </w:rPr>
      </w:pPr>
      <w:r>
        <w:rPr>
          <w:rFonts w:ascii="Arial" w:hAnsi="Arial" w:eastAsia="Arial" w:cs="Arial"/>
        </w:rPr>
        <w:t>O estudo proposto analisou a relação entre as capacidades físicas e cognitivas em idosos que vivem com Diabetes Mellitus Tipo 2, destacando a complexidade do envelhecimento e seus impactos biológicos, sociais e psicológicos. Apesar de apresentar resultados funcionais positivos, como a boa capacidade no teste de sentar e levantar, não foram encontradas correlações significativas entre desempenho físico e cognitivo. Isso sugere que a funcionalidade física isolada pode não ser suficiente para prever o desempenho cognitivo, reforçando a necessidade de considerar outros fatores. Ainda assim, a literatura ressalta a importância da atividade física para uma melhora da cognição, destacando a importância de abordagens integrativas para promover a qualidade de vida dessa população.</w:t>
      </w:r>
    </w:p>
    <w:p w14:paraId="24DB6FCF">
      <w:pPr>
        <w:spacing w:line="360" w:lineRule="auto"/>
        <w:jc w:val="both"/>
        <w:rPr>
          <w:rFonts w:ascii="Arial" w:hAnsi="Arial" w:eastAsia="Arial" w:cs="Arial"/>
        </w:rPr>
      </w:pPr>
    </w:p>
    <w:p w14:paraId="115D144B">
      <w:pPr>
        <w:jc w:val="both"/>
        <w:rPr>
          <w:rFonts w:ascii="Arial" w:hAnsi="Arial" w:eastAsia="Arial" w:cs="Arial"/>
          <w:b/>
        </w:rPr>
      </w:pPr>
      <w:r>
        <w:rPr>
          <w:rFonts w:ascii="Arial" w:hAnsi="Arial" w:eastAsia="Arial" w:cs="Arial"/>
          <w:b/>
        </w:rPr>
        <w:t>REFERÊNCIAS</w:t>
      </w:r>
    </w:p>
    <w:p w14:paraId="3AE04EA6">
      <w:pPr>
        <w:jc w:val="both"/>
        <w:rPr>
          <w:rFonts w:ascii="Arial" w:hAnsi="Arial" w:eastAsia="Arial" w:cs="Arial"/>
        </w:rPr>
      </w:pPr>
      <w:r>
        <w:rPr>
          <w:rFonts w:ascii="Arial" w:hAnsi="Arial" w:eastAsia="Arial" w:cs="Arial"/>
        </w:rPr>
        <w:t>FREITAS, M. C. de, Queiroz, T. A., &amp; Sousa, J. A. V. (2010). O significado da velhice e da experiência de envelhecer para os idosos. Revista da Escola de Enfermagem da USP, 44(2), 407-12. doi:10.1590/S0080-62342010000200024.</w:t>
      </w:r>
    </w:p>
    <w:p w14:paraId="4A360222">
      <w:pPr>
        <w:jc w:val="both"/>
        <w:rPr>
          <w:rFonts w:ascii="Arial" w:hAnsi="Arial" w:eastAsia="Arial" w:cs="Arial"/>
          <w:lang w:val="en-US"/>
        </w:rPr>
      </w:pPr>
      <w:r>
        <w:rPr>
          <w:rFonts w:ascii="Arial" w:hAnsi="Arial" w:eastAsia="Arial" w:cs="Arial"/>
        </w:rPr>
        <w:t xml:space="preserve">MORANDO, E. M. G., Schmitt, J. C., &amp; Ferreira, M. E. C. (2018). Treino de Memória em Idosos Saudáveis: Uma Revisão da Literatura [Memory Training in Helathy Elderly People: A Literature Review]. </w:t>
      </w:r>
      <w:r>
        <w:rPr>
          <w:rFonts w:ascii="Arial" w:hAnsi="Arial" w:eastAsia="Arial" w:cs="Arial"/>
          <w:i/>
          <w:lang w:val="en-US"/>
        </w:rPr>
        <w:t>International Journal of Developmental and Educational Psychology. Revista INFAD de Psicología</w:t>
      </w:r>
      <w:r>
        <w:rPr>
          <w:rFonts w:ascii="Arial" w:hAnsi="Arial" w:eastAsia="Arial" w:cs="Arial"/>
          <w:lang w:val="en-US"/>
        </w:rPr>
        <w:t>, 4(1), 293-310.</w:t>
      </w:r>
    </w:p>
    <w:p w14:paraId="14FCA54D">
      <w:pPr>
        <w:jc w:val="both"/>
        <w:rPr>
          <w:rFonts w:ascii="Arial" w:hAnsi="Arial" w:eastAsia="Arial" w:cs="Arial"/>
        </w:rPr>
      </w:pPr>
      <w:r>
        <w:rPr>
          <w:rFonts w:ascii="Arial" w:hAnsi="Arial" w:eastAsia="Arial" w:cs="Arial"/>
        </w:rPr>
        <w:t>FRANCISCO, P. M. S.; BELON, A. P.; BARROS, M. B. A.; CARANDINA, L.; ALVES, M. C. G.P.; GOLBAUM, M.; CESAR, C. L. G.; Diabetes auto-referido em idosos: prevalência, fatoresassociados e práticas de controle. Cad. Saúde Pública, vol.26, n.1, p.175-184, jan. 2010. disponível em: http://www.scielosp.org/pdf/csp/v26n1/18.pdf. Acesso em: 02 ago. 2016.</w:t>
      </w:r>
    </w:p>
    <w:p w14:paraId="3B5E315F">
      <w:pPr>
        <w:jc w:val="both"/>
        <w:rPr>
          <w:rFonts w:ascii="Arial" w:hAnsi="Arial" w:eastAsia="Arial" w:cs="Arial"/>
        </w:rPr>
      </w:pPr>
      <w:r>
        <w:rPr>
          <w:rFonts w:ascii="Arial" w:hAnsi="Arial" w:eastAsia="Arial" w:cs="Arial"/>
        </w:rPr>
        <w:t>BORGES, Eliane et al. O envelhecimento populacional: um fenômeno mundial. O envelhecimento populacional um fenômeno, p. 17, 2017.In: Dantas, Estélio Henrique Martin; SANTOS, César Augusto de Souza (Orgs). Aspectos biopsicossociais do envelhecimento e a prevenção de quedas na terceira idade. Joaçaba: Editora Unoesc.330p. 2017.</w:t>
      </w:r>
    </w:p>
    <w:p w14:paraId="2798DE68">
      <w:pPr>
        <w:jc w:val="both"/>
        <w:rPr>
          <w:rFonts w:ascii="Arial" w:hAnsi="Arial" w:eastAsia="Arial" w:cs="Arial"/>
        </w:rPr>
      </w:pPr>
      <w:r>
        <w:rPr>
          <w:rFonts w:ascii="Arial" w:hAnsi="Arial" w:eastAsia="Arial" w:cs="Arial"/>
        </w:rPr>
        <w:t xml:space="preserve">SCORTEGAGNA, H. de M.; HAGEN, D. N. P. Um olhar de cuidado sobre a saúde mental de idosos. In: SCORTEGAGNA, S. A. et al. (Org.). </w:t>
      </w:r>
      <w:r>
        <w:rPr>
          <w:rFonts w:ascii="Arial" w:hAnsi="Arial" w:eastAsia="Arial" w:cs="Arial"/>
          <w:i/>
        </w:rPr>
        <w:t>O cuidado na multidimensionalidade do envelhecimento humano</w:t>
      </w:r>
      <w:r>
        <w:rPr>
          <w:rFonts w:ascii="Arial" w:hAnsi="Arial" w:eastAsia="Arial" w:cs="Arial"/>
        </w:rPr>
        <w:t>. Passo Fundo: Méritos, 2015. p. 280.</w:t>
      </w:r>
    </w:p>
    <w:p w14:paraId="2E990DE7">
      <w:pPr>
        <w:jc w:val="both"/>
        <w:rPr>
          <w:rFonts w:ascii="Arial" w:hAnsi="Arial" w:eastAsia="Arial" w:cs="Arial"/>
        </w:rPr>
      </w:pPr>
      <w:r>
        <w:rPr>
          <w:rFonts w:ascii="Arial" w:hAnsi="Arial" w:eastAsia="Arial" w:cs="Arial"/>
        </w:rPr>
        <w:t>SILVA L. M., Moreira, M. A. S. P., Bezerra, V. P., Almeida, S. A., Brenna, S. &amp;, Silva, A. O. (2014). Representações sociais sobre solidão por idosos institucionalizados. Journal of Research Fundamental Care Online, 6(supl.), 1-9. doi:10.9789/2175 5361.2014.v6i5.1-9.</w:t>
      </w:r>
    </w:p>
    <w:p w14:paraId="40B733C1">
      <w:pPr>
        <w:jc w:val="both"/>
        <w:rPr>
          <w:rFonts w:ascii="Arial" w:hAnsi="Arial" w:eastAsia="Arial" w:cs="Arial"/>
        </w:rPr>
      </w:pPr>
      <w:r>
        <w:rPr>
          <w:rFonts w:ascii="Arial" w:hAnsi="Arial" w:eastAsia="Arial" w:cs="Arial"/>
        </w:rPr>
        <w:t xml:space="preserve">TIRAPU-USTRÁRROZ, J. &amp; Muñoz-Céspedes, J.M. (2005). Memória y funciones ejecutiva. Rev. Neurol; 41(8): 475-484. </w:t>
      </w:r>
    </w:p>
    <w:p w14:paraId="4F494EFA">
      <w:pPr>
        <w:jc w:val="both"/>
        <w:rPr>
          <w:rFonts w:ascii="Arial" w:hAnsi="Arial" w:eastAsia="Arial" w:cs="Arial"/>
        </w:rPr>
      </w:pPr>
      <w:r>
        <w:rPr>
          <w:rFonts w:ascii="Arial" w:hAnsi="Arial" w:eastAsia="Arial" w:cs="Arial"/>
        </w:rPr>
        <w:t xml:space="preserve">VAGHETTI, H. H., Barbosa Filho, V. C., &amp; Pinto, A. D. S. (2015). </w:t>
      </w:r>
      <w:r>
        <w:rPr>
          <w:rFonts w:ascii="Arial" w:hAnsi="Arial" w:eastAsia="Arial" w:cs="Arial"/>
          <w:i/>
        </w:rPr>
        <w:t>Atividade física e bem-estar em idosos: uma revisão sistemática</w:t>
      </w:r>
      <w:r>
        <w:rPr>
          <w:rFonts w:ascii="Arial" w:hAnsi="Arial" w:eastAsia="Arial" w:cs="Arial"/>
        </w:rPr>
        <w:t>. Revista Brasileira de Atividade Física e Saúde, 20(2), 134–140.</w:t>
      </w:r>
    </w:p>
    <w:p w14:paraId="4A679AD2">
      <w:pPr>
        <w:jc w:val="both"/>
        <w:rPr>
          <w:rFonts w:ascii="Arial" w:hAnsi="Arial" w:eastAsia="Arial" w:cs="Arial"/>
        </w:rPr>
      </w:pPr>
      <w:r>
        <w:rPr>
          <w:rFonts w:ascii="Arial" w:hAnsi="Arial" w:eastAsia="Arial" w:cs="Arial"/>
        </w:rPr>
        <w:t>GUIMARÃES, L. B., Silva, M. A., &amp; Melo, M. A. (2014). Efeitos da atividade física no desempenho cognitivo de idosos: uma revisão da literatura. Revista Brasileira de Terapias Cognitivo-Comportamentais, 22(3), 221-231.</w:t>
      </w:r>
    </w:p>
    <w:p w14:paraId="03AB4781">
      <w:pPr>
        <w:jc w:val="both"/>
        <w:rPr>
          <w:rFonts w:ascii="Arial" w:hAnsi="Arial" w:eastAsia="Arial" w:cs="Arial"/>
        </w:rPr>
      </w:pPr>
      <w:r>
        <w:rPr>
          <w:rFonts w:ascii="Arial" w:hAnsi="Arial" w:eastAsia="Arial" w:cs="Arial"/>
        </w:rPr>
        <w:t xml:space="preserve">SACRAMENTO, A. M., &amp; Chariglione, I. P. F. S. (2019). Intervenções físicas e cognitivas combinadas para melhora cognitiva no envelhecimento: Uma revisão sistemática. Revista Brasileira de Psicologia do Esporte, Brasília, 9(1). Recuperado em 7 mar. 2020, de  </w:t>
      </w:r>
      <w:r>
        <w:fldChar w:fldCharType="begin"/>
      </w:r>
      <w:r>
        <w:instrText xml:space="preserve"> HYPERLINK "https://portalrevistas.ucb.br/index.php/RBPE/article/view/9965" \h </w:instrText>
      </w:r>
      <w:r>
        <w:fldChar w:fldCharType="separate"/>
      </w:r>
      <w:r>
        <w:rPr>
          <w:rFonts w:ascii="Arial" w:hAnsi="Arial" w:eastAsia="Arial" w:cs="Arial"/>
          <w:color w:val="467886"/>
          <w:u w:val="single"/>
        </w:rPr>
        <w:t>https://portalrevistas.ucb.br/index.php/RBPE/article/view/9965</w:t>
      </w:r>
      <w:r>
        <w:rPr>
          <w:rFonts w:ascii="Arial" w:hAnsi="Arial" w:eastAsia="Arial" w:cs="Arial"/>
          <w:color w:val="467886"/>
          <w:u w:val="single"/>
        </w:rPr>
        <w:fldChar w:fldCharType="end"/>
      </w:r>
      <w:r>
        <w:rPr>
          <w:rFonts w:ascii="Arial" w:hAnsi="Arial" w:eastAsia="Arial" w:cs="Arial"/>
        </w:rPr>
        <w:t>.</w:t>
      </w:r>
    </w:p>
    <w:p w14:paraId="5CE2D1D7">
      <w:pPr>
        <w:jc w:val="both"/>
        <w:rPr>
          <w:rFonts w:ascii="Arial" w:hAnsi="Arial" w:eastAsia="Arial" w:cs="Arial"/>
          <w:lang w:val="en-US"/>
        </w:rPr>
      </w:pPr>
      <w:r>
        <w:rPr>
          <w:rFonts w:ascii="Arial" w:hAnsi="Arial" w:eastAsia="Arial" w:cs="Arial"/>
        </w:rPr>
        <w:t xml:space="preserve">SCHLINDWEIN-ZANINI R. Demência no idoso: aspectos neuropsicológicos. </w:t>
      </w:r>
      <w:r>
        <w:rPr>
          <w:rFonts w:ascii="Arial" w:hAnsi="Arial" w:eastAsia="Arial" w:cs="Arial"/>
          <w:lang w:val="en-US"/>
        </w:rPr>
        <w:t>Rev Neurocienc 2010; 18(2): 220-226.</w:t>
      </w:r>
    </w:p>
    <w:p w14:paraId="049904DE">
      <w:pPr>
        <w:jc w:val="both"/>
        <w:rPr>
          <w:rFonts w:ascii="Arial" w:hAnsi="Arial" w:eastAsia="Arial" w:cs="Arial"/>
        </w:rPr>
      </w:pPr>
      <w:r>
        <w:rPr>
          <w:rFonts w:ascii="Arial" w:hAnsi="Arial" w:eastAsia="Arial" w:cs="Arial"/>
          <w:lang w:val="en-US"/>
        </w:rPr>
        <w:t xml:space="preserve">BIESSELS, G. J.; WHITMER, R. A. Cognitive dysfunction in diabetes: How to implement emerging guidelines. </w:t>
      </w:r>
      <w:r>
        <w:rPr>
          <w:rFonts w:ascii="Arial" w:hAnsi="Arial" w:eastAsia="Arial" w:cs="Arial"/>
        </w:rPr>
        <w:t>Diabetes Care, v. 43, n. 3, p. 543-552, 2020.</w:t>
      </w:r>
    </w:p>
    <w:p w14:paraId="7D5C715E">
      <w:pPr>
        <w:jc w:val="both"/>
        <w:rPr>
          <w:rFonts w:ascii="Arial" w:hAnsi="Arial" w:eastAsia="Arial" w:cs="Arial"/>
          <w:b/>
          <w:color w:val="FF0000"/>
        </w:rPr>
      </w:pPr>
    </w:p>
    <w:p w14:paraId="5E76103E">
      <w:pPr>
        <w:spacing w:line="360" w:lineRule="auto"/>
        <w:jc w:val="both"/>
        <w:rPr>
          <w:rFonts w:ascii="Arial" w:hAnsi="Arial" w:eastAsia="Arial" w:cs="Arial"/>
          <w:color w:val="000000" w:themeColor="text1"/>
          <w14:textFill>
            <w14:solidFill>
              <w14:schemeClr w14:val="tx1"/>
            </w14:solidFill>
          </w14:textFill>
        </w:rPr>
      </w:pPr>
      <w:r>
        <w:rPr>
          <w:rFonts w:ascii="Arial" w:hAnsi="Arial" w:eastAsia="Arial" w:cs="Arial"/>
          <w:b/>
          <w:color w:val="000000" w:themeColor="text1"/>
          <w14:textFill>
            <w14:solidFill>
              <w14:schemeClr w14:val="tx1"/>
            </w14:solidFill>
          </w14:textFill>
        </w:rPr>
        <w:t xml:space="preserve">FOMENTO </w:t>
      </w:r>
    </w:p>
    <w:p w14:paraId="725A0658">
      <w:pPr>
        <w:spacing w:line="360" w:lineRule="auto"/>
        <w:jc w:val="both"/>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O trabalho teve a concessão de Bolsa </w:t>
      </w:r>
      <w:r>
        <w:rPr>
          <w:rFonts w:hint="default" w:ascii="Arial" w:hAnsi="Arial" w:eastAsia="Arial" w:cs="Arial"/>
          <w:color w:val="000000" w:themeColor="text1"/>
          <w:lang w:val="pt-BR"/>
          <w14:textFill>
            <w14:solidFill>
              <w14:schemeClr w14:val="tx1"/>
            </w14:solidFill>
          </w14:textFill>
        </w:rPr>
        <w:t xml:space="preserve">de Iniciação Científica no âmbito do edital </w:t>
      </w:r>
      <w:r>
        <w:rPr>
          <w:rFonts w:hint="default" w:ascii="Arial" w:hAnsi="Arial" w:eastAsia="Arial"/>
          <w:color w:val="000000" w:themeColor="text1"/>
          <w:lang w:val="pt-BR"/>
          <w14:textFill>
            <w14:solidFill>
              <w14:schemeClr w14:val="tx1"/>
            </w14:solidFill>
          </w14:textFill>
        </w:rPr>
        <w:t>nº</w:t>
      </w:r>
      <w:r>
        <w:rPr>
          <w:rFonts w:hint="default" w:ascii="Arial" w:hAnsi="Arial" w:eastAsia="Arial" w:cs="Arial"/>
          <w:color w:val="000000" w:themeColor="text1"/>
          <w:lang w:val="pt-BR"/>
          <w14:textFill>
            <w14:solidFill>
              <w14:schemeClr w14:val="tx1"/>
            </w14:solidFill>
          </w14:textFill>
        </w:rPr>
        <w:t xml:space="preserve"> 01</w:t>
      </w:r>
      <w:r>
        <w:rPr>
          <w:rFonts w:hint="default" w:ascii="Arial" w:hAnsi="Arial" w:eastAsia="Arial"/>
          <w:color w:val="000000" w:themeColor="text1"/>
          <w:lang w:val="pt-BR"/>
          <w14:textFill>
            <w14:solidFill>
              <w14:schemeClr w14:val="tx1"/>
            </w14:solidFill>
          </w14:textFill>
        </w:rPr>
        <w:t>/</w:t>
      </w:r>
      <w:r>
        <w:rPr>
          <w:rFonts w:hint="default" w:ascii="Arial" w:hAnsi="Arial" w:eastAsia="Arial" w:cs="Arial"/>
          <w:color w:val="000000" w:themeColor="text1"/>
          <w:lang w:val="pt-BR"/>
          <w14:textFill>
            <w14:solidFill>
              <w14:schemeClr w14:val="tx1"/>
            </w14:solidFill>
          </w14:textFill>
        </w:rPr>
        <w:t>24 (47</w:t>
      </w:r>
      <w:r>
        <w:rPr>
          <w:rFonts w:hint="default" w:ascii="Arial" w:hAnsi="Arial" w:eastAsia="Arial"/>
          <w:color w:val="000000" w:themeColor="text1"/>
          <w:lang w:val="pt-BR"/>
          <w14:textFill>
            <w14:solidFill>
              <w14:schemeClr w14:val="tx1"/>
            </w14:solidFill>
          </w14:textFill>
        </w:rPr>
        <w:t>/</w:t>
      </w:r>
      <w:r>
        <w:rPr>
          <w:rFonts w:hint="default" w:ascii="Arial" w:hAnsi="Arial" w:eastAsia="Arial" w:cs="Arial"/>
          <w:color w:val="000000" w:themeColor="text1"/>
          <w:lang w:val="pt-BR"/>
          <w14:textFill>
            <w14:solidFill>
              <w14:schemeClr w14:val="tx1"/>
            </w14:solidFill>
          </w14:textFill>
        </w:rPr>
        <w:t>2024)- PRÓ-CIÊNCIA (Edital de Seleção de Projetos do Programa Ânima de Iniciação Ciêntifica - Pró-Ciência) da Vice-Presidência de Estratégia Acadêmica do Grupo Ânima. Titulo do projeto: CORRELAÇÃO DAS CAPACIDADES FÍSICAS COM AS CAPACIDADES COGNITIVAS EM PESSOAS IDOSAS QUE VIVEM COM DIABETES MELLITUS TIPO II.</w:t>
      </w:r>
    </w:p>
    <w:p w14:paraId="02B2466C">
      <w:pPr>
        <w:jc w:val="both"/>
        <w:rPr>
          <w:rFonts w:ascii="Arial" w:hAnsi="Arial" w:eastAsia="Arial" w:cs="Arial"/>
        </w:rPr>
      </w:pPr>
    </w:p>
    <w:p w14:paraId="0C4458A8">
      <w:pPr>
        <w:rPr>
          <w:rFonts w:ascii="Arial" w:hAnsi="Arial" w:eastAsia="Arial" w:cs="Arial"/>
        </w:rPr>
      </w:pPr>
    </w:p>
    <w:p w14:paraId="5CCA1699">
      <w:pPr>
        <w:jc w:val="both"/>
        <w:rPr>
          <w:rFonts w:ascii="Arial" w:hAnsi="Arial" w:eastAsia="Arial" w:cs="Arial"/>
        </w:rPr>
        <w:sectPr>
          <w:headerReference r:id="rId5" w:type="default"/>
          <w:footerReference r:id="rId6" w:type="default"/>
          <w:pgSz w:w="12240" w:h="15840"/>
          <w:pgMar w:top="1417" w:right="1701" w:bottom="1417" w:left="1701" w:header="720" w:footer="720" w:gutter="0"/>
          <w:pgNumType w:start="1"/>
          <w:cols w:space="720" w:num="1"/>
        </w:sectPr>
      </w:pPr>
    </w:p>
    <w:p w14:paraId="5600392D"/>
    <w:sectPr>
      <w:pgSz w:w="12240" w:h="15840"/>
      <w:pgMar w:top="1417" w:right="1701" w:bottom="1417" w:left="1701"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ptos">
    <w:altName w:val="SimSun"/>
    <w:panose1 w:val="020B0004020202020204"/>
    <w:charset w:val="86"/>
    <w:family w:val="swiss"/>
    <w:pitch w:val="default"/>
    <w:sig w:usb0="00000000" w:usb1="00000000" w:usb2="00000000" w:usb3="00000000" w:csb0="0000019F"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276B">
    <w:pPr>
      <w:tabs>
        <w:tab w:val="center" w:pos="4252"/>
        <w:tab w:val="right" w:pos="8504"/>
      </w:tabs>
      <w:spacing w:after="0" w:line="240" w:lineRule="auto"/>
      <w:ind w:left="708"/>
      <w:jc w:val="right"/>
      <w:rPr>
        <w:color w:val="000000"/>
      </w:rPr>
    </w:pPr>
    <w:r>
      <w:drawing>
        <wp:anchor distT="0" distB="0" distL="114300" distR="114300" simplePos="0" relativeHeight="251659264" behindDoc="0" locked="0" layoutInCell="1" allowOverlap="1">
          <wp:simplePos x="0" y="0"/>
          <wp:positionH relativeFrom="column">
            <wp:posOffset>2011045</wp:posOffset>
          </wp:positionH>
          <wp:positionV relativeFrom="paragraph">
            <wp:posOffset>-99695</wp:posOffset>
          </wp:positionV>
          <wp:extent cx="4011930" cy="781050"/>
          <wp:effectExtent l="0" t="0" r="1270" b="6350"/>
          <wp:wrapSquare wrapText="bothSides"/>
          <wp:docPr id="2" name="image1.png" descr="Padrão do plano de fund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2" name="image1.png" descr="Padrão do plano de fundo&#10;&#10;Descrição gerada automaticamente com confiança baixa"/>
                  <pic:cNvPicPr preferRelativeResize="0"/>
                </pic:nvPicPr>
                <pic:blipFill>
                  <a:blip r:embed="rId1"/>
                  <a:srcRect t="28183"/>
                  <a:stretch>
                    <a:fillRect/>
                  </a:stretch>
                </pic:blipFill>
                <pic:spPr>
                  <a:xfrm>
                    <a:off x="0" y="0"/>
                    <a:ext cx="4011930" cy="7810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34606">
    <w:pPr>
      <w:pStyle w:val="18"/>
    </w:pPr>
    <w:r>
      <w:drawing>
        <wp:inline distT="0" distB="0" distL="0" distR="0">
          <wp:extent cx="1226820" cy="917575"/>
          <wp:effectExtent l="0" t="0" r="0" b="0"/>
          <wp:docPr id="883779501" name="image2.jpg" descr="Ânima e Uliving - Conheça a moradia oficial do Ecossistema Ânima"/>
          <wp:cNvGraphicFramePr/>
          <a:graphic xmlns:a="http://schemas.openxmlformats.org/drawingml/2006/main">
            <a:graphicData uri="http://schemas.openxmlformats.org/drawingml/2006/picture">
              <pic:pic xmlns:pic="http://schemas.openxmlformats.org/drawingml/2006/picture">
                <pic:nvPicPr>
                  <pic:cNvPr id="883779501" name="image2.jpg" descr="Ânima e Uliving - Conheça a moradia oficial do Ecossistema Ânima"/>
                  <pic:cNvPicPr preferRelativeResize="0"/>
                </pic:nvPicPr>
                <pic:blipFill>
                  <a:blip r:embed="rId1"/>
                  <a:srcRect/>
                  <a:stretch>
                    <a:fillRect/>
                  </a:stretch>
                </pic:blipFill>
                <pic:spPr>
                  <a:xfrm>
                    <a:off x="0" y="0"/>
                    <a:ext cx="1227092" cy="9179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hyphenationZone w:val="425"/>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68"/>
    <w:rsid w:val="00130F86"/>
    <w:rsid w:val="00323968"/>
    <w:rsid w:val="004930E2"/>
    <w:rsid w:val="0087031F"/>
    <w:rsid w:val="009E45BA"/>
    <w:rsid w:val="00A848ED"/>
    <w:rsid w:val="014E7300"/>
    <w:rsid w:val="058A6C65"/>
    <w:rsid w:val="0658334C"/>
    <w:rsid w:val="0EF17624"/>
    <w:rsid w:val="1288610B"/>
    <w:rsid w:val="20E9019A"/>
    <w:rsid w:val="28722A8B"/>
    <w:rsid w:val="28A61BF2"/>
    <w:rsid w:val="2ECC51FC"/>
    <w:rsid w:val="348A22CC"/>
    <w:rsid w:val="4096746A"/>
    <w:rsid w:val="4692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Apto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Aptos" w:hAnsi="Aptos" w:eastAsia="Aptos" w:cs="Aptos"/>
      <w:sz w:val="24"/>
      <w:szCs w:val="24"/>
      <w:lang w:val="pt-BR" w:eastAsia="pt-BR" w:bidi="ar-SA"/>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qFormat/>
    <w:uiPriority w:val="0"/>
    <w:rPr>
      <w:sz w:val="16"/>
      <w:szCs w:val="16"/>
    </w:rPr>
  </w:style>
  <w:style w:type="character" w:styleId="14">
    <w:name w:val="Hyperlink"/>
    <w:basedOn w:val="11"/>
    <w:unhideWhenUsed/>
    <w:qFormat/>
    <w:uiPriority w:val="99"/>
    <w:rPr>
      <w:color w:val="467886" w:themeColor="hyperlink"/>
      <w:u w:val="single"/>
      <w14:textFill>
        <w14:solidFill>
          <w14:schemeClr w14:val="hlink"/>
        </w14:solidFill>
      </w14:textFill>
    </w:rPr>
  </w:style>
  <w:style w:type="paragraph" w:styleId="15">
    <w:name w:val="annotation text"/>
    <w:basedOn w:val="1"/>
    <w:link w:val="44"/>
    <w:uiPriority w:val="0"/>
    <w:pPr>
      <w:spacing w:line="240" w:lineRule="auto"/>
    </w:pPr>
    <w:rPr>
      <w:sz w:val="20"/>
      <w:szCs w:val="20"/>
    </w:rPr>
  </w:style>
  <w:style w:type="paragraph" w:styleId="16">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7">
    <w:name w:val="Normal (Web)"/>
    <w:basedOn w:val="1"/>
    <w:semiHidden/>
    <w:unhideWhenUsed/>
    <w:qFormat/>
    <w:uiPriority w:val="99"/>
    <w:rPr>
      <w:rFonts w:ascii="Times New Roman" w:hAnsi="Times New Roman" w:cs="Times New Roman"/>
    </w:rPr>
  </w:style>
  <w:style w:type="paragraph" w:styleId="18">
    <w:name w:val="header"/>
    <w:basedOn w:val="1"/>
    <w:link w:val="41"/>
    <w:unhideWhenUsed/>
    <w:qFormat/>
    <w:uiPriority w:val="99"/>
    <w:pPr>
      <w:tabs>
        <w:tab w:val="center" w:pos="4252"/>
        <w:tab w:val="right" w:pos="8504"/>
      </w:tabs>
      <w:spacing w:after="0" w:line="240" w:lineRule="auto"/>
    </w:pPr>
  </w:style>
  <w:style w:type="paragraph" w:styleId="19">
    <w:name w:val="annotation subject"/>
    <w:basedOn w:val="15"/>
    <w:next w:val="15"/>
    <w:link w:val="45"/>
    <w:uiPriority w:val="0"/>
    <w:rPr>
      <w:b/>
      <w:bCs/>
    </w:rPr>
  </w:style>
  <w:style w:type="paragraph" w:styleId="20">
    <w:name w:val="footer"/>
    <w:basedOn w:val="1"/>
    <w:link w:val="42"/>
    <w:unhideWhenUsed/>
    <w:qFormat/>
    <w:uiPriority w:val="99"/>
    <w:pPr>
      <w:tabs>
        <w:tab w:val="center" w:pos="4252"/>
        <w:tab w:val="right" w:pos="8504"/>
      </w:tabs>
      <w:spacing w:after="0" w:line="240" w:lineRule="auto"/>
    </w:pPr>
  </w:style>
  <w:style w:type="paragraph" w:styleId="21">
    <w:name w:val="Subtitle"/>
    <w:basedOn w:val="1"/>
    <w:next w:val="1"/>
    <w:link w:val="33"/>
    <w:qFormat/>
    <w:uiPriority w:val="0"/>
    <w:rPr>
      <w:color w:val="595959"/>
      <w:sz w:val="28"/>
      <w:szCs w:val="28"/>
    </w:rPr>
  </w:style>
  <w:style w:type="table" w:customStyle="1" w:styleId="22">
    <w:name w:val="Table Normal"/>
    <w:uiPriority w:val="0"/>
    <w:tblPr>
      <w:tblCellMar>
        <w:top w:w="0" w:type="dxa"/>
        <w:left w:w="0" w:type="dxa"/>
        <w:bottom w:w="0" w:type="dxa"/>
        <w:right w:w="0" w:type="dxa"/>
      </w:tblCellMar>
    </w:tblPr>
  </w:style>
  <w:style w:type="character" w:customStyle="1" w:styleId="23">
    <w:name w:val="Título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4">
    <w:name w:val="Título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Título 3 Char"/>
    <w:basedOn w:val="11"/>
    <w:link w:val="4"/>
    <w:semiHidden/>
    <w:qFormat/>
    <w:uiPriority w:val="9"/>
    <w:rPr>
      <w:rFonts w:eastAsiaTheme="majorEastAsia" w:cstheme="majorBidi"/>
      <w:color w:val="104862" w:themeColor="accent1" w:themeShade="BF"/>
      <w:sz w:val="28"/>
      <w:szCs w:val="28"/>
    </w:rPr>
  </w:style>
  <w:style w:type="character" w:customStyle="1" w:styleId="26">
    <w:name w:val="Título 4 Char"/>
    <w:basedOn w:val="11"/>
    <w:link w:val="5"/>
    <w:semiHidden/>
    <w:qFormat/>
    <w:uiPriority w:val="9"/>
    <w:rPr>
      <w:rFonts w:eastAsiaTheme="majorEastAsia" w:cstheme="majorBidi"/>
      <w:i/>
      <w:iCs/>
      <w:color w:val="104862" w:themeColor="accent1" w:themeShade="BF"/>
    </w:rPr>
  </w:style>
  <w:style w:type="character" w:customStyle="1" w:styleId="27">
    <w:name w:val="Título 5 Char"/>
    <w:basedOn w:val="11"/>
    <w:link w:val="6"/>
    <w:semiHidden/>
    <w:qFormat/>
    <w:uiPriority w:val="9"/>
    <w:rPr>
      <w:rFonts w:eastAsiaTheme="majorEastAsia" w:cstheme="majorBidi"/>
      <w:color w:val="104862" w:themeColor="accent1" w:themeShade="BF"/>
    </w:rPr>
  </w:style>
  <w:style w:type="character" w:customStyle="1" w:styleId="28">
    <w:name w:val="Título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Título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Título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Título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ítulo Char"/>
    <w:basedOn w:val="11"/>
    <w:link w:val="16"/>
    <w:qFormat/>
    <w:uiPriority w:val="10"/>
    <w:rPr>
      <w:rFonts w:asciiTheme="majorHAnsi" w:hAnsiTheme="majorHAnsi" w:eastAsiaTheme="majorEastAsia" w:cstheme="majorBidi"/>
      <w:spacing w:val="-10"/>
      <w:kern w:val="28"/>
      <w:sz w:val="56"/>
      <w:szCs w:val="56"/>
    </w:rPr>
  </w:style>
  <w:style w:type="character" w:customStyle="1" w:styleId="33">
    <w:name w:val="Subtítulo Char"/>
    <w:basedOn w:val="11"/>
    <w:link w:val="2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Citação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Ênfase Intensa1"/>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Citação Intensa Char"/>
    <w:basedOn w:val="11"/>
    <w:link w:val="38"/>
    <w:qFormat/>
    <w:uiPriority w:val="30"/>
    <w:rPr>
      <w:i/>
      <w:iCs/>
      <w:color w:val="104862" w:themeColor="accent1" w:themeShade="BF"/>
    </w:rPr>
  </w:style>
  <w:style w:type="character" w:customStyle="1" w:styleId="40">
    <w:name w:val="Referência Intensa1"/>
    <w:basedOn w:val="11"/>
    <w:qFormat/>
    <w:uiPriority w:val="32"/>
    <w:rPr>
      <w:b/>
      <w:bCs/>
      <w:smallCaps/>
      <w:color w:val="104862" w:themeColor="accent1" w:themeShade="BF"/>
      <w:spacing w:val="5"/>
    </w:rPr>
  </w:style>
  <w:style w:type="character" w:customStyle="1" w:styleId="41">
    <w:name w:val="Cabeçalho Char"/>
    <w:basedOn w:val="11"/>
    <w:link w:val="18"/>
    <w:qFormat/>
    <w:uiPriority w:val="99"/>
  </w:style>
  <w:style w:type="character" w:customStyle="1" w:styleId="42">
    <w:name w:val="Rodapé Char"/>
    <w:basedOn w:val="11"/>
    <w:link w:val="20"/>
    <w:qFormat/>
    <w:uiPriority w:val="99"/>
  </w:style>
  <w:style w:type="character" w:customStyle="1" w:styleId="43">
    <w:name w:val="Menção Pendente1"/>
    <w:basedOn w:val="11"/>
    <w:semiHidden/>
    <w:unhideWhenUsed/>
    <w:qFormat/>
    <w:uiPriority w:val="99"/>
    <w:rPr>
      <w:color w:val="605E5C"/>
      <w:shd w:val="clear" w:color="auto" w:fill="E1DFDD"/>
    </w:rPr>
  </w:style>
  <w:style w:type="character" w:customStyle="1" w:styleId="44">
    <w:name w:val="Texto de comentário Char"/>
    <w:basedOn w:val="11"/>
    <w:link w:val="15"/>
    <w:uiPriority w:val="0"/>
    <w:rPr>
      <w:rFonts w:cs="Aptos"/>
    </w:rPr>
  </w:style>
  <w:style w:type="character" w:customStyle="1" w:styleId="45">
    <w:name w:val="Assunto do comentário Char"/>
    <w:basedOn w:val="44"/>
    <w:link w:val="19"/>
    <w:uiPriority w:val="0"/>
    <w:rPr>
      <w:rFonts w:cs="Aptos"/>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1722</Words>
  <Characters>9300</Characters>
  <Lines>77</Lines>
  <Paragraphs>21</Paragraphs>
  <TotalTime>27</TotalTime>
  <ScaleCrop>false</ScaleCrop>
  <LinksUpToDate>false</LinksUpToDate>
  <CharactersWithSpaces>11001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2024-11-26T12:15:00Z</dcterms:created>
  <dc:creator>Patricia Nemara</dc:creator>
  <cp:lastModifiedBy>Admin</cp:lastModifiedBy>
  <dcterms:modified xsi:type="dcterms:W3CDTF">2024-11-27T21:50:10Z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1046-12.2.0.18911</vt:lpwstr>
  </property>
  <property fmtid="{D5CDD505-2E9C-101B-9397-08002B2CF9AE}" pid="3" name="ICV">
    <vt:lpwstr>CE1F4A25EF6B40F3992EABD2E87720BD_13</vt:lpwstr>
  </property>
</Properties>
</file>