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8E6B" w14:textId="65E57F5F" w:rsidR="00E3650A" w:rsidRDefault="00F642AC" w:rsidP="00F642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42AC">
        <w:rPr>
          <w:rFonts w:ascii="Arial" w:hAnsi="Arial" w:cs="Arial"/>
          <w:b/>
          <w:sz w:val="24"/>
          <w:szCs w:val="24"/>
        </w:rPr>
        <w:t>EXAME NECROSCÓPICO: PRÁTICA FUNDAMENTAL PARA ESTABELECER O DIAGNÓSTICO</w:t>
      </w:r>
    </w:p>
    <w:p w14:paraId="2FA98400" w14:textId="09E5BB16" w:rsidR="00F642AC" w:rsidRDefault="00F642AC" w:rsidP="00F642AC">
      <w:pPr>
        <w:spacing w:line="360" w:lineRule="auto"/>
        <w:jc w:val="center"/>
        <w:rPr>
          <w:rFonts w:ascii="Arial" w:hAnsi="Arial" w:cs="Arial"/>
          <w:bCs/>
          <w:sz w:val="24"/>
          <w:szCs w:val="24"/>
          <w:vertAlign w:val="superscript"/>
        </w:rPr>
      </w:pPr>
      <w:r w:rsidRPr="006B77BA">
        <w:rPr>
          <w:rFonts w:ascii="Arial" w:hAnsi="Arial" w:cs="Arial"/>
          <w:bCs/>
          <w:sz w:val="24"/>
          <w:szCs w:val="24"/>
        </w:rPr>
        <w:t>Bruna Pioner de Jesus</w:t>
      </w:r>
      <w:r w:rsidR="004772E7">
        <w:rPr>
          <w:rStyle w:val="Refdenotaderodap"/>
          <w:rFonts w:ascii="Arial" w:hAnsi="Arial" w:cs="Arial"/>
          <w:bCs/>
          <w:sz w:val="24"/>
          <w:szCs w:val="24"/>
        </w:rPr>
        <w:footnoteReference w:id="1"/>
      </w:r>
      <w:r w:rsidR="006B77BA">
        <w:rPr>
          <w:rFonts w:ascii="Arial" w:hAnsi="Arial" w:cs="Arial"/>
          <w:bCs/>
          <w:sz w:val="24"/>
          <w:szCs w:val="24"/>
        </w:rPr>
        <w:t>;</w:t>
      </w:r>
      <w:r w:rsidRPr="006B77BA">
        <w:rPr>
          <w:rFonts w:ascii="Arial" w:hAnsi="Arial" w:cs="Arial"/>
          <w:bCs/>
          <w:sz w:val="24"/>
          <w:szCs w:val="24"/>
        </w:rPr>
        <w:t xml:space="preserve"> Alice Faé Obelar</w:t>
      </w:r>
      <w:r w:rsidR="006B77BA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6B77BA">
        <w:rPr>
          <w:rFonts w:ascii="Arial" w:hAnsi="Arial" w:cs="Arial"/>
          <w:bCs/>
          <w:sz w:val="24"/>
          <w:szCs w:val="24"/>
        </w:rPr>
        <w:t>;</w:t>
      </w:r>
      <w:r w:rsidRPr="006B77BA">
        <w:rPr>
          <w:rFonts w:ascii="Arial" w:hAnsi="Arial" w:cs="Arial"/>
          <w:bCs/>
          <w:sz w:val="24"/>
          <w:szCs w:val="24"/>
        </w:rPr>
        <w:t xml:space="preserve"> Catherine Dall’Agnol Krause</w:t>
      </w:r>
      <w:r w:rsidR="006B77BA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6B77BA">
        <w:rPr>
          <w:rFonts w:ascii="Arial" w:hAnsi="Arial" w:cs="Arial"/>
          <w:bCs/>
          <w:sz w:val="24"/>
          <w:szCs w:val="24"/>
        </w:rPr>
        <w:t>;</w:t>
      </w:r>
      <w:r w:rsidRPr="006B77BA">
        <w:rPr>
          <w:rFonts w:ascii="Arial" w:hAnsi="Arial" w:cs="Arial"/>
          <w:bCs/>
          <w:sz w:val="24"/>
          <w:szCs w:val="24"/>
        </w:rPr>
        <w:t xml:space="preserve"> Marciele Espindula Maciel</w:t>
      </w:r>
      <w:r w:rsidR="006B77BA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6B77BA">
        <w:rPr>
          <w:rFonts w:ascii="Arial" w:hAnsi="Arial" w:cs="Arial"/>
          <w:bCs/>
          <w:sz w:val="24"/>
          <w:szCs w:val="24"/>
        </w:rPr>
        <w:t xml:space="preserve"> e Ana Carolina Barreto Coelho (Dra.)</w:t>
      </w:r>
      <w:r w:rsidR="006A3A55">
        <w:rPr>
          <w:rStyle w:val="Refdenotaderodap"/>
          <w:rFonts w:ascii="Arial" w:hAnsi="Arial" w:cs="Arial"/>
          <w:bCs/>
          <w:sz w:val="24"/>
          <w:szCs w:val="24"/>
        </w:rPr>
        <w:footnoteReference w:id="2"/>
      </w:r>
    </w:p>
    <w:p w14:paraId="1B027117" w14:textId="77777777" w:rsidR="00687CC3" w:rsidRDefault="006B77BA" w:rsidP="006B77B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B77BA">
        <w:rPr>
          <w:rFonts w:ascii="Arial" w:hAnsi="Arial" w:cs="Arial"/>
          <w:b/>
          <w:sz w:val="24"/>
          <w:szCs w:val="24"/>
        </w:rPr>
        <w:t>Resumo: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33F80FC" w14:textId="05215A59" w:rsidR="00687CC3" w:rsidRDefault="006B77BA" w:rsidP="00687CC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B77BA">
        <w:rPr>
          <w:rFonts w:ascii="Arial" w:hAnsi="Arial" w:cs="Arial"/>
          <w:bCs/>
          <w:sz w:val="24"/>
          <w:szCs w:val="24"/>
        </w:rPr>
        <w:t xml:space="preserve">O exame necroscópico é </w:t>
      </w:r>
      <w:r w:rsidR="00E227BB">
        <w:rPr>
          <w:rFonts w:ascii="Arial" w:hAnsi="Arial" w:cs="Arial"/>
          <w:bCs/>
          <w:sz w:val="24"/>
          <w:szCs w:val="24"/>
        </w:rPr>
        <w:t xml:space="preserve">uma importante ferramenta na veterinária. Esse método post mortem é utilizada para </w:t>
      </w:r>
      <w:r w:rsidRPr="006B77BA">
        <w:rPr>
          <w:rFonts w:ascii="Arial" w:hAnsi="Arial" w:cs="Arial"/>
          <w:bCs/>
          <w:sz w:val="24"/>
          <w:szCs w:val="24"/>
        </w:rPr>
        <w:t xml:space="preserve">melhorar o entendimento dos processos patológicos, prevenção de novas mortes e </w:t>
      </w:r>
      <w:r w:rsidRPr="00E227BB">
        <w:rPr>
          <w:rFonts w:ascii="Arial" w:hAnsi="Arial" w:cs="Arial"/>
          <w:bCs/>
          <w:sz w:val="24"/>
          <w:szCs w:val="24"/>
        </w:rPr>
        <w:t>coleta de materiais que podem</w:t>
      </w:r>
      <w:r w:rsidR="00E227BB" w:rsidRPr="00E227BB">
        <w:rPr>
          <w:rFonts w:ascii="Arial" w:hAnsi="Arial" w:cs="Arial"/>
          <w:bCs/>
          <w:sz w:val="24"/>
          <w:szCs w:val="24"/>
        </w:rPr>
        <w:t>, inclusive,</w:t>
      </w:r>
      <w:r w:rsidRPr="00E227BB">
        <w:rPr>
          <w:rFonts w:ascii="Arial" w:hAnsi="Arial" w:cs="Arial"/>
          <w:bCs/>
          <w:sz w:val="24"/>
          <w:szCs w:val="24"/>
        </w:rPr>
        <w:t xml:space="preserve"> influenciar na saúde única.</w:t>
      </w:r>
      <w:r w:rsidRPr="006B77BA">
        <w:rPr>
          <w:rFonts w:ascii="Arial" w:hAnsi="Arial" w:cs="Arial"/>
          <w:bCs/>
          <w:sz w:val="24"/>
          <w:szCs w:val="24"/>
        </w:rPr>
        <w:t xml:space="preserve"> O projeto, recebeu ao todo </w:t>
      </w:r>
      <w:r w:rsidR="0024216A">
        <w:rPr>
          <w:rFonts w:ascii="Arial" w:hAnsi="Arial" w:cs="Arial"/>
          <w:bCs/>
          <w:sz w:val="24"/>
          <w:szCs w:val="24"/>
        </w:rPr>
        <w:t>3</w:t>
      </w:r>
      <w:r w:rsidR="00E227BB">
        <w:rPr>
          <w:rFonts w:ascii="Arial" w:hAnsi="Arial" w:cs="Arial"/>
          <w:bCs/>
          <w:sz w:val="24"/>
          <w:szCs w:val="24"/>
        </w:rPr>
        <w:t>9</w:t>
      </w:r>
      <w:r w:rsidRPr="006B77BA">
        <w:rPr>
          <w:rFonts w:ascii="Arial" w:hAnsi="Arial" w:cs="Arial"/>
          <w:bCs/>
          <w:sz w:val="24"/>
          <w:szCs w:val="24"/>
        </w:rPr>
        <w:t xml:space="preserve"> cadáveres encaminhados por médicos veterinários e doações de instituições parceiras, sendo </w:t>
      </w:r>
      <w:r w:rsidR="0024216A">
        <w:rPr>
          <w:rFonts w:ascii="Arial" w:hAnsi="Arial" w:cs="Arial"/>
          <w:bCs/>
          <w:sz w:val="24"/>
          <w:szCs w:val="24"/>
        </w:rPr>
        <w:t>onze</w:t>
      </w:r>
      <w:r w:rsidRPr="006B77BA">
        <w:rPr>
          <w:rFonts w:ascii="Arial" w:hAnsi="Arial" w:cs="Arial"/>
          <w:bCs/>
          <w:sz w:val="24"/>
          <w:szCs w:val="24"/>
        </w:rPr>
        <w:t xml:space="preserve"> canino</w:t>
      </w:r>
      <w:r w:rsidR="00687CC3">
        <w:rPr>
          <w:rFonts w:ascii="Arial" w:hAnsi="Arial" w:cs="Arial"/>
          <w:bCs/>
          <w:sz w:val="24"/>
          <w:szCs w:val="24"/>
        </w:rPr>
        <w:t>s</w:t>
      </w:r>
      <w:r w:rsidRPr="006B77BA">
        <w:rPr>
          <w:rFonts w:ascii="Arial" w:hAnsi="Arial" w:cs="Arial"/>
          <w:bCs/>
          <w:sz w:val="24"/>
          <w:szCs w:val="24"/>
        </w:rPr>
        <w:t xml:space="preserve">, </w:t>
      </w:r>
      <w:r w:rsidR="0024216A">
        <w:rPr>
          <w:rFonts w:ascii="Arial" w:hAnsi="Arial" w:cs="Arial"/>
          <w:bCs/>
          <w:sz w:val="24"/>
          <w:szCs w:val="24"/>
        </w:rPr>
        <w:t>quatro</w:t>
      </w:r>
      <w:r w:rsidRPr="006B77BA">
        <w:rPr>
          <w:rFonts w:ascii="Arial" w:hAnsi="Arial" w:cs="Arial"/>
          <w:bCs/>
          <w:sz w:val="24"/>
          <w:szCs w:val="24"/>
        </w:rPr>
        <w:t xml:space="preserve"> felinos, </w:t>
      </w:r>
      <w:r w:rsidR="0024216A">
        <w:rPr>
          <w:rFonts w:ascii="Arial" w:hAnsi="Arial" w:cs="Arial"/>
          <w:bCs/>
          <w:sz w:val="24"/>
          <w:szCs w:val="24"/>
        </w:rPr>
        <w:t>quatro</w:t>
      </w:r>
      <w:r w:rsidRPr="006B77BA">
        <w:rPr>
          <w:rFonts w:ascii="Arial" w:hAnsi="Arial" w:cs="Arial"/>
          <w:bCs/>
          <w:sz w:val="24"/>
          <w:szCs w:val="24"/>
        </w:rPr>
        <w:t xml:space="preserve"> equino</w:t>
      </w:r>
      <w:r w:rsidR="00687CC3">
        <w:rPr>
          <w:rFonts w:ascii="Arial" w:hAnsi="Arial" w:cs="Arial"/>
          <w:bCs/>
          <w:sz w:val="24"/>
          <w:szCs w:val="24"/>
        </w:rPr>
        <w:t>s</w:t>
      </w:r>
      <w:r w:rsidRPr="006B77BA">
        <w:rPr>
          <w:rFonts w:ascii="Arial" w:hAnsi="Arial" w:cs="Arial"/>
          <w:bCs/>
          <w:sz w:val="24"/>
          <w:szCs w:val="24"/>
        </w:rPr>
        <w:t xml:space="preserve">, </w:t>
      </w:r>
      <w:r w:rsidR="0024216A">
        <w:rPr>
          <w:rFonts w:ascii="Arial" w:hAnsi="Arial" w:cs="Arial"/>
          <w:bCs/>
          <w:sz w:val="24"/>
          <w:szCs w:val="24"/>
        </w:rPr>
        <w:t>cinco bovinos</w:t>
      </w:r>
      <w:r w:rsidR="00687CC3">
        <w:rPr>
          <w:rFonts w:ascii="Arial" w:hAnsi="Arial" w:cs="Arial"/>
          <w:bCs/>
          <w:sz w:val="24"/>
          <w:szCs w:val="24"/>
        </w:rPr>
        <w:t>,</w:t>
      </w:r>
      <w:r w:rsidRPr="006B77BA">
        <w:rPr>
          <w:rFonts w:ascii="Arial" w:hAnsi="Arial" w:cs="Arial"/>
          <w:bCs/>
          <w:sz w:val="24"/>
          <w:szCs w:val="24"/>
        </w:rPr>
        <w:t xml:space="preserve"> </w:t>
      </w:r>
      <w:r w:rsidR="00E227BB">
        <w:rPr>
          <w:rFonts w:ascii="Arial" w:hAnsi="Arial" w:cs="Arial"/>
          <w:bCs/>
          <w:sz w:val="24"/>
          <w:szCs w:val="24"/>
        </w:rPr>
        <w:t>nove</w:t>
      </w:r>
      <w:r w:rsidRPr="006B77BA">
        <w:rPr>
          <w:rFonts w:ascii="Arial" w:hAnsi="Arial" w:cs="Arial"/>
          <w:bCs/>
          <w:sz w:val="24"/>
          <w:szCs w:val="24"/>
        </w:rPr>
        <w:t xml:space="preserve"> ovino</w:t>
      </w:r>
      <w:r w:rsidR="00687CC3">
        <w:rPr>
          <w:rFonts w:ascii="Arial" w:hAnsi="Arial" w:cs="Arial"/>
          <w:bCs/>
          <w:sz w:val="24"/>
          <w:szCs w:val="24"/>
        </w:rPr>
        <w:t>s, cinco calopsitas e uma iguana</w:t>
      </w:r>
      <w:r w:rsidRPr="006B77BA">
        <w:rPr>
          <w:rFonts w:ascii="Arial" w:hAnsi="Arial" w:cs="Arial"/>
          <w:bCs/>
          <w:sz w:val="24"/>
          <w:szCs w:val="24"/>
        </w:rPr>
        <w:t>. As necropsias foram feitas com base no Guia de Técnica de Necropsia dos Mamíferos Domésticos (Barros, 1989)</w:t>
      </w:r>
      <w:r w:rsidR="00E227BB">
        <w:rPr>
          <w:rFonts w:ascii="Arial" w:hAnsi="Arial" w:cs="Arial"/>
          <w:bCs/>
          <w:sz w:val="24"/>
          <w:szCs w:val="24"/>
        </w:rPr>
        <w:t xml:space="preserve">. </w:t>
      </w:r>
    </w:p>
    <w:p w14:paraId="7F58BB6E" w14:textId="30F5CDB2" w:rsidR="00687CC3" w:rsidRDefault="00687CC3" w:rsidP="006B77B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87CC3">
        <w:rPr>
          <w:rFonts w:ascii="Arial" w:hAnsi="Arial" w:cs="Arial"/>
          <w:b/>
          <w:sz w:val="24"/>
          <w:szCs w:val="24"/>
        </w:rPr>
        <w:t>Palavras-chave:</w:t>
      </w:r>
      <w:r w:rsidRPr="00687CC3">
        <w:rPr>
          <w:rFonts w:ascii="Arial" w:hAnsi="Arial" w:cs="Arial"/>
          <w:bCs/>
          <w:sz w:val="24"/>
          <w:szCs w:val="24"/>
        </w:rPr>
        <w:t xml:space="preserve"> Histopatologia, neoplasia, zoonoses.</w:t>
      </w:r>
    </w:p>
    <w:p w14:paraId="0C7EC3C8" w14:textId="77777777" w:rsidR="00687CC3" w:rsidRDefault="00687CC3" w:rsidP="006B77B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280F77" w14:textId="77777777" w:rsidR="00687CC3" w:rsidRDefault="00687CC3" w:rsidP="00687CC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7CC3">
        <w:rPr>
          <w:rFonts w:ascii="Arial" w:hAnsi="Arial" w:cs="Arial"/>
          <w:b/>
          <w:sz w:val="24"/>
          <w:szCs w:val="24"/>
        </w:rPr>
        <w:t>Introdução:</w:t>
      </w:r>
      <w:r w:rsidRPr="00687CC3">
        <w:rPr>
          <w:rFonts w:ascii="Arial" w:hAnsi="Arial" w:cs="Arial"/>
          <w:bCs/>
          <w:sz w:val="24"/>
          <w:szCs w:val="24"/>
        </w:rPr>
        <w:t xml:space="preserve"> </w:t>
      </w:r>
    </w:p>
    <w:p w14:paraId="579432E6" w14:textId="43048754" w:rsidR="00957DE1" w:rsidRDefault="00957DE1" w:rsidP="00957DE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necropsia é uma importante ferramenta no mundo da medicina veterinária, porém o seu uso ainda não é tão disseminado.</w:t>
      </w:r>
      <w:r w:rsidRPr="001F432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Ela se configura n</w:t>
      </w:r>
      <w:r w:rsidRPr="00687CC3">
        <w:rPr>
          <w:rFonts w:ascii="Arial" w:hAnsi="Arial" w:cs="Arial"/>
          <w:bCs/>
          <w:sz w:val="24"/>
          <w:szCs w:val="24"/>
        </w:rPr>
        <w:t>uma série de observações e procedimentos organizados e hierarquizados, realizados no cadáver com o objetivo de determinar o que provocou a sua morte (Espinosa, 2008).</w:t>
      </w:r>
      <w:r>
        <w:rPr>
          <w:rFonts w:ascii="Arial" w:hAnsi="Arial" w:cs="Arial"/>
          <w:bCs/>
          <w:sz w:val="24"/>
          <w:szCs w:val="24"/>
        </w:rPr>
        <w:t xml:space="preserve"> É um exame post mortem que pode ter diferentes resultados, não apenas ao que se refere ao diagnóstico, mas quanto ao uso da resposta encontrada com esse método </w:t>
      </w:r>
      <w:r w:rsidRPr="00687CC3">
        <w:rPr>
          <w:rFonts w:ascii="Arial" w:hAnsi="Arial" w:cs="Arial"/>
          <w:bCs/>
          <w:sz w:val="24"/>
          <w:szCs w:val="24"/>
        </w:rPr>
        <w:t>(Law et al., 2012)</w:t>
      </w:r>
      <w:r>
        <w:rPr>
          <w:rFonts w:ascii="Arial" w:hAnsi="Arial" w:cs="Arial"/>
          <w:bCs/>
          <w:sz w:val="24"/>
          <w:szCs w:val="24"/>
        </w:rPr>
        <w:t xml:space="preserve">. Cada vez mais as pessoas têm tratados seus pets como membro da família, e como tal eles têm recebido maior atenção. No entanto nem sempre é possível se chegar num diagnóstico a tempo, ainda em vida. Diante disso a necropsia é de suma importância para dar um ponto final na história daquele animal e ainda ajudar o possível clínico que fazia o acompanhamento se atentar para futuros casos semelhantes e evitar futuros erros </w:t>
      </w:r>
      <w:r w:rsidRPr="00687CC3">
        <w:rPr>
          <w:rFonts w:ascii="Arial" w:hAnsi="Arial" w:cs="Arial"/>
          <w:bCs/>
          <w:sz w:val="24"/>
          <w:szCs w:val="24"/>
        </w:rPr>
        <w:t>(Peixoto; Barros, 19</w:t>
      </w:r>
      <w:r>
        <w:rPr>
          <w:rFonts w:ascii="Arial" w:hAnsi="Arial" w:cs="Arial"/>
          <w:bCs/>
          <w:sz w:val="24"/>
          <w:szCs w:val="24"/>
        </w:rPr>
        <w:t>9</w:t>
      </w:r>
      <w:r w:rsidRPr="00687CC3">
        <w:rPr>
          <w:rFonts w:ascii="Arial" w:hAnsi="Arial" w:cs="Arial"/>
          <w:bCs/>
          <w:sz w:val="24"/>
          <w:szCs w:val="24"/>
        </w:rPr>
        <w:t>8)</w:t>
      </w:r>
      <w:r>
        <w:rPr>
          <w:rFonts w:ascii="Arial" w:hAnsi="Arial" w:cs="Arial"/>
          <w:bCs/>
          <w:sz w:val="24"/>
          <w:szCs w:val="24"/>
        </w:rPr>
        <w:t xml:space="preserve">. Ou seja, esse exame ele pode contestar, confirmar, </w:t>
      </w:r>
      <w:r>
        <w:rPr>
          <w:rFonts w:ascii="Arial" w:hAnsi="Arial" w:cs="Arial"/>
          <w:bCs/>
          <w:sz w:val="24"/>
          <w:szCs w:val="24"/>
        </w:rPr>
        <w:lastRenderedPageBreak/>
        <w:t>esclarecer, mudar ou ainda, estabelecer um diagnóstico. Esse exame também se mostra necessário diante de um atual cenário da saúde que cada vez mais emprega o conceito de One Health</w:t>
      </w:r>
      <w:r w:rsidR="006028AE">
        <w:rPr>
          <w:rFonts w:ascii="Arial" w:hAnsi="Arial" w:cs="Arial"/>
          <w:bCs/>
          <w:sz w:val="24"/>
          <w:szCs w:val="24"/>
        </w:rPr>
        <w:t xml:space="preserve"> (Bidaisee, 2014)</w:t>
      </w:r>
      <w:r>
        <w:rPr>
          <w:rFonts w:ascii="Arial" w:hAnsi="Arial" w:cs="Arial"/>
          <w:bCs/>
          <w:sz w:val="24"/>
          <w:szCs w:val="24"/>
        </w:rPr>
        <w:t xml:space="preserve">. Há muitos casos de animais que vem a óbito por alguma doença por potencial zoonótico e só é sabido após confirmação de exame necroscópico </w:t>
      </w:r>
      <w:r w:rsidRPr="00687CC3">
        <w:rPr>
          <w:rFonts w:ascii="Arial" w:hAnsi="Arial" w:cs="Arial"/>
          <w:bCs/>
          <w:sz w:val="24"/>
          <w:szCs w:val="24"/>
        </w:rPr>
        <w:t>(Zanella, 2016)</w:t>
      </w:r>
      <w:r>
        <w:rPr>
          <w:rFonts w:ascii="Arial" w:hAnsi="Arial" w:cs="Arial"/>
          <w:bCs/>
          <w:sz w:val="24"/>
          <w:szCs w:val="24"/>
        </w:rPr>
        <w:t>. Esse resultado é de extrema importância pois desencadeia uma série de medidas a serem tomadas, que giram em torno de prevenção e tratamento, voltada às pessoas do convívio do animal, ou ainda de uma certa região.</w:t>
      </w:r>
      <w:r w:rsidR="006028AE">
        <w:rPr>
          <w:rFonts w:ascii="Arial" w:hAnsi="Arial" w:cs="Arial"/>
          <w:bCs/>
          <w:sz w:val="24"/>
          <w:szCs w:val="24"/>
        </w:rPr>
        <w:t xml:space="preserve"> Diante disso o</w:t>
      </w:r>
      <w:r w:rsidR="006028AE" w:rsidRPr="00687CC3">
        <w:rPr>
          <w:rFonts w:ascii="Arial" w:hAnsi="Arial" w:cs="Arial"/>
          <w:bCs/>
          <w:sz w:val="24"/>
          <w:szCs w:val="24"/>
        </w:rPr>
        <w:t xml:space="preserve"> trabalho tem como objetivo analisar os cadáveres que recebemos no Complexo Médico Veterinário UniRitter para estabelecer, refutar, corrigir e aprimorar o diagnóstico clínico.</w:t>
      </w:r>
    </w:p>
    <w:p w14:paraId="5B7A5BB0" w14:textId="59CD18B2" w:rsidR="004772E7" w:rsidRPr="004772E7" w:rsidRDefault="004772E7" w:rsidP="004772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72E7">
        <w:rPr>
          <w:rFonts w:ascii="Arial" w:hAnsi="Arial" w:cs="Arial"/>
          <w:b/>
          <w:sz w:val="24"/>
          <w:szCs w:val="24"/>
        </w:rPr>
        <w:t xml:space="preserve">Método: </w:t>
      </w:r>
    </w:p>
    <w:p w14:paraId="3B89E945" w14:textId="17B0D043" w:rsidR="004772E7" w:rsidRDefault="004772E7" w:rsidP="004772E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72E7">
        <w:rPr>
          <w:rFonts w:ascii="Arial" w:hAnsi="Arial" w:cs="Arial"/>
          <w:bCs/>
          <w:sz w:val="24"/>
          <w:szCs w:val="24"/>
        </w:rPr>
        <w:t>Os médicos veterinários clínicos gerais solicitavam o exame necroscópico, com autorização do tutor, encaminhando o histórico da vida do animal, sinais clínicos e suspeitas diagnósticas. O recebimento de cadáveres congelados, avaliação, fotodocumentação, exame necroscópico e descrição macroscópica eram realizados pelos bolsistas, juntamente com a professora orientadora. A técnica de necropsia utilizada é baseada no Guia de Técnica de Necropsia dos Mamíferos Domésticos efetuado pelo autor</w:t>
      </w:r>
      <w:r w:rsidR="006028AE">
        <w:rPr>
          <w:rFonts w:ascii="Arial" w:hAnsi="Arial" w:cs="Arial"/>
          <w:bCs/>
          <w:sz w:val="24"/>
          <w:szCs w:val="24"/>
        </w:rPr>
        <w:t xml:space="preserve"> Cláudio</w:t>
      </w:r>
      <w:r w:rsidRPr="004772E7">
        <w:rPr>
          <w:rFonts w:ascii="Arial" w:hAnsi="Arial" w:cs="Arial"/>
          <w:bCs/>
          <w:sz w:val="24"/>
          <w:szCs w:val="24"/>
        </w:rPr>
        <w:t xml:space="preserve"> Barros</w:t>
      </w:r>
      <w:r w:rsidR="006028AE">
        <w:rPr>
          <w:rFonts w:ascii="Arial" w:hAnsi="Arial" w:cs="Arial"/>
          <w:bCs/>
          <w:sz w:val="24"/>
          <w:szCs w:val="24"/>
        </w:rPr>
        <w:t>,</w:t>
      </w:r>
      <w:r w:rsidRPr="004772E7">
        <w:rPr>
          <w:rFonts w:ascii="Arial" w:hAnsi="Arial" w:cs="Arial"/>
          <w:bCs/>
          <w:sz w:val="24"/>
          <w:szCs w:val="24"/>
        </w:rPr>
        <w:t xml:space="preserve"> podendo haver alterações conforme particularidades do animal (anatomofisiológicas ou suspeitas de afecções específicas). </w:t>
      </w:r>
      <w:r w:rsidR="006028AE">
        <w:rPr>
          <w:rFonts w:ascii="Arial" w:hAnsi="Arial" w:cs="Arial"/>
          <w:bCs/>
          <w:sz w:val="24"/>
          <w:szCs w:val="24"/>
        </w:rPr>
        <w:t>O</w:t>
      </w:r>
      <w:r w:rsidRPr="004772E7">
        <w:rPr>
          <w:rFonts w:ascii="Arial" w:hAnsi="Arial" w:cs="Arial"/>
          <w:bCs/>
          <w:sz w:val="24"/>
          <w:szCs w:val="24"/>
        </w:rPr>
        <w:t xml:space="preserve">s materiais coletados eram armazenados em solução formol 10% e, posteriormente, encaminhados para </w:t>
      </w:r>
      <w:r w:rsidR="006028AE">
        <w:rPr>
          <w:rFonts w:ascii="Arial" w:hAnsi="Arial" w:cs="Arial"/>
          <w:bCs/>
          <w:sz w:val="24"/>
          <w:szCs w:val="24"/>
        </w:rPr>
        <w:t>um laboratório de análises clínicas para exame histopatológico e eventualmente outros exames como cultura fúngica ou bacteriana, a depender das suspeitas</w:t>
      </w:r>
      <w:r w:rsidRPr="004772E7">
        <w:rPr>
          <w:rFonts w:ascii="Arial" w:hAnsi="Arial" w:cs="Arial"/>
          <w:bCs/>
          <w:sz w:val="24"/>
          <w:szCs w:val="24"/>
        </w:rPr>
        <w:t>.</w:t>
      </w:r>
      <w:r w:rsidR="006028AE">
        <w:rPr>
          <w:rFonts w:ascii="Arial" w:hAnsi="Arial" w:cs="Arial"/>
          <w:bCs/>
          <w:sz w:val="24"/>
          <w:szCs w:val="24"/>
        </w:rPr>
        <w:t xml:space="preserve"> </w:t>
      </w:r>
    </w:p>
    <w:p w14:paraId="6C869767" w14:textId="77777777" w:rsidR="004772E7" w:rsidRPr="004772E7" w:rsidRDefault="004772E7" w:rsidP="004772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72E7">
        <w:rPr>
          <w:rFonts w:ascii="Arial" w:eastAsia="Times New Roman" w:hAnsi="Arial" w:cs="Arial"/>
          <w:b/>
          <w:bCs/>
          <w:sz w:val="24"/>
          <w:szCs w:val="24"/>
        </w:rPr>
        <w:t>Resultados e discussões:</w:t>
      </w:r>
      <w:r w:rsidRPr="004772E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26B3293" w14:textId="20615258" w:rsidR="004772E7" w:rsidRDefault="004772E7" w:rsidP="004772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772E7">
        <w:rPr>
          <w:rFonts w:ascii="Arial" w:eastAsia="Times New Roman" w:hAnsi="Arial" w:cs="Arial"/>
          <w:sz w:val="24"/>
          <w:szCs w:val="24"/>
        </w:rPr>
        <w:t xml:space="preserve">Foram encaminhados </w:t>
      </w:r>
      <w:r w:rsidR="00770E3D">
        <w:rPr>
          <w:rFonts w:ascii="Arial" w:eastAsia="Times New Roman" w:hAnsi="Arial" w:cs="Arial"/>
          <w:sz w:val="24"/>
          <w:szCs w:val="24"/>
        </w:rPr>
        <w:t>39</w:t>
      </w:r>
      <w:r w:rsidRPr="004772E7">
        <w:rPr>
          <w:rFonts w:ascii="Arial" w:eastAsia="Times New Roman" w:hAnsi="Arial" w:cs="Arial"/>
          <w:sz w:val="24"/>
          <w:szCs w:val="24"/>
        </w:rPr>
        <w:t xml:space="preserve"> cadáveres, </w:t>
      </w:r>
      <w:r w:rsidR="00770E3D">
        <w:rPr>
          <w:rFonts w:ascii="Arial" w:eastAsia="Times New Roman" w:hAnsi="Arial" w:cs="Arial"/>
          <w:sz w:val="24"/>
          <w:szCs w:val="24"/>
        </w:rPr>
        <w:t>sendo eles onze caninos, quatro felinos, cinco bovinos, nove ovinos, quatro equinos, cinco calopsitas e uma iguana</w:t>
      </w:r>
      <w:r w:rsidRPr="004772E7">
        <w:rPr>
          <w:rFonts w:ascii="Arial" w:eastAsia="Times New Roman" w:hAnsi="Arial" w:cs="Arial"/>
          <w:sz w:val="24"/>
          <w:szCs w:val="24"/>
        </w:rPr>
        <w:t xml:space="preserve">. Dentre as solicitações, </w:t>
      </w:r>
      <w:r w:rsidR="00E1665C">
        <w:rPr>
          <w:rFonts w:ascii="Arial" w:eastAsia="Times New Roman" w:hAnsi="Arial" w:cs="Arial"/>
          <w:sz w:val="24"/>
          <w:szCs w:val="24"/>
        </w:rPr>
        <w:t>os diagnósticos</w:t>
      </w:r>
      <w:r w:rsidRPr="004772E7">
        <w:rPr>
          <w:rFonts w:ascii="Arial" w:eastAsia="Times New Roman" w:hAnsi="Arial" w:cs="Arial"/>
          <w:sz w:val="24"/>
          <w:szCs w:val="24"/>
        </w:rPr>
        <w:t xml:space="preserve"> mais frequentes </w:t>
      </w:r>
      <w:r w:rsidR="00E1665C">
        <w:rPr>
          <w:rFonts w:ascii="Arial" w:eastAsia="Times New Roman" w:hAnsi="Arial" w:cs="Arial"/>
          <w:sz w:val="24"/>
          <w:szCs w:val="24"/>
        </w:rPr>
        <w:t>foram</w:t>
      </w:r>
      <w:r w:rsidRPr="004772E7">
        <w:rPr>
          <w:rFonts w:ascii="Arial" w:eastAsia="Times New Roman" w:hAnsi="Arial" w:cs="Arial"/>
          <w:sz w:val="24"/>
          <w:szCs w:val="24"/>
        </w:rPr>
        <w:t xml:space="preserve"> de neoplasias, </w:t>
      </w:r>
      <w:r w:rsidRPr="00E1665C">
        <w:rPr>
          <w:rFonts w:ascii="Arial" w:eastAsia="Times New Roman" w:hAnsi="Arial" w:cs="Arial"/>
          <w:sz w:val="24"/>
          <w:szCs w:val="24"/>
        </w:rPr>
        <w:t xml:space="preserve">sendo quatro cães e </w:t>
      </w:r>
      <w:r w:rsidR="00E1665C" w:rsidRPr="00E1665C">
        <w:rPr>
          <w:rFonts w:ascii="Arial" w:eastAsia="Times New Roman" w:hAnsi="Arial" w:cs="Arial"/>
          <w:sz w:val="24"/>
          <w:szCs w:val="24"/>
        </w:rPr>
        <w:t>dois</w:t>
      </w:r>
      <w:r w:rsidRPr="00E1665C">
        <w:rPr>
          <w:rFonts w:ascii="Arial" w:eastAsia="Times New Roman" w:hAnsi="Arial" w:cs="Arial"/>
          <w:sz w:val="24"/>
          <w:szCs w:val="24"/>
        </w:rPr>
        <w:t xml:space="preserve"> gatos.</w:t>
      </w:r>
      <w:r w:rsidR="00E1665C" w:rsidRPr="00E1665C">
        <w:rPr>
          <w:rFonts w:ascii="Arial" w:eastAsia="Times New Roman" w:hAnsi="Arial" w:cs="Arial"/>
          <w:sz w:val="24"/>
          <w:szCs w:val="24"/>
        </w:rPr>
        <w:t xml:space="preserve"> Logo atrás ficaram as parasitoses que também acometeram diferentes espécies.</w:t>
      </w:r>
      <w:r w:rsidR="00E1665C">
        <w:rPr>
          <w:rFonts w:ascii="Arial" w:eastAsia="Times New Roman" w:hAnsi="Arial" w:cs="Arial"/>
          <w:sz w:val="24"/>
          <w:szCs w:val="24"/>
        </w:rPr>
        <w:t xml:space="preserve"> Alguns destes animais foram vítimas dos eventos climáticos que assolaram a cidade e região em que o este projeto ocorreu. O que explica o diagnóstico de síndrome de submersão de alguns equinos. Os psitacídeos presentes na tabela eram calopsitas que também, em </w:t>
      </w:r>
      <w:r w:rsidR="00E1665C">
        <w:rPr>
          <w:rFonts w:ascii="Arial" w:eastAsia="Times New Roman" w:hAnsi="Arial" w:cs="Arial"/>
          <w:sz w:val="24"/>
          <w:szCs w:val="24"/>
        </w:rPr>
        <w:lastRenderedPageBreak/>
        <w:t xml:space="preserve">sua maioria, foram resgatados da enchente e passaram por situações delicadas.  </w:t>
      </w:r>
      <w:r w:rsidRPr="00E1665C">
        <w:rPr>
          <w:rFonts w:ascii="Arial" w:eastAsia="Times New Roman" w:hAnsi="Arial" w:cs="Arial"/>
          <w:sz w:val="24"/>
          <w:szCs w:val="24"/>
        </w:rPr>
        <w:t xml:space="preserve"> O projeto aguardou os exames histopatológicos e bacteriológicos para confirmar ou corrigir o diagnóstico clínico.</w:t>
      </w:r>
      <w:r w:rsidRPr="004772E7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EC27CC" w14:paraId="67B9EAF1" w14:textId="77777777" w:rsidTr="00EC2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78A21C4" w14:textId="00545D19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Espécie</w:t>
            </w:r>
          </w:p>
        </w:tc>
        <w:tc>
          <w:tcPr>
            <w:tcW w:w="1700" w:type="dxa"/>
          </w:tcPr>
          <w:p w14:paraId="593E0B42" w14:textId="17416492" w:rsidR="00EC27CC" w:rsidRDefault="00EC27CC" w:rsidP="004772E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Idade</w:t>
            </w:r>
          </w:p>
        </w:tc>
        <w:tc>
          <w:tcPr>
            <w:tcW w:w="3963" w:type="dxa"/>
          </w:tcPr>
          <w:p w14:paraId="3C42BF83" w14:textId="472C2745" w:rsidR="00EC27CC" w:rsidRDefault="00EC27CC" w:rsidP="004772E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Diagnóstico</w:t>
            </w:r>
          </w:p>
        </w:tc>
      </w:tr>
      <w:tr w:rsidR="00EC27CC" w14:paraId="3F3DA720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276FE09" w14:textId="2B6DDC93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Canino</w:t>
            </w:r>
          </w:p>
        </w:tc>
        <w:tc>
          <w:tcPr>
            <w:tcW w:w="1700" w:type="dxa"/>
          </w:tcPr>
          <w:p w14:paraId="09FC7AFC" w14:textId="30B3C154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3606D59D" w14:textId="7695DCAA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Neoplasia</w:t>
            </w:r>
          </w:p>
        </w:tc>
      </w:tr>
      <w:tr w:rsidR="00EC27CC" w14:paraId="08745FD8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B414E37" w14:textId="539AB33A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Canino</w:t>
            </w:r>
          </w:p>
        </w:tc>
        <w:tc>
          <w:tcPr>
            <w:tcW w:w="1700" w:type="dxa"/>
          </w:tcPr>
          <w:p w14:paraId="53627AC8" w14:textId="2FCA0F6F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anos</w:t>
            </w:r>
          </w:p>
        </w:tc>
        <w:tc>
          <w:tcPr>
            <w:tcW w:w="3963" w:type="dxa"/>
          </w:tcPr>
          <w:p w14:paraId="040D2C97" w14:textId="2376F4CC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Neoplasia</w:t>
            </w:r>
          </w:p>
        </w:tc>
      </w:tr>
      <w:tr w:rsidR="00EC27CC" w14:paraId="5CCA3C79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38DA3C7" w14:textId="3BB01C67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Canino</w:t>
            </w:r>
          </w:p>
        </w:tc>
        <w:tc>
          <w:tcPr>
            <w:tcW w:w="1700" w:type="dxa"/>
          </w:tcPr>
          <w:p w14:paraId="1BD0FFFB" w14:textId="5DABFEBC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 anos</w:t>
            </w:r>
          </w:p>
        </w:tc>
        <w:tc>
          <w:tcPr>
            <w:tcW w:w="3963" w:type="dxa"/>
          </w:tcPr>
          <w:p w14:paraId="3BF90F3C" w14:textId="79066DF6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Cardiopatia e má formação</w:t>
            </w:r>
          </w:p>
        </w:tc>
      </w:tr>
      <w:tr w:rsidR="00EC27CC" w14:paraId="4EA3D21B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57ED954" w14:textId="0343E755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Canino</w:t>
            </w:r>
          </w:p>
        </w:tc>
        <w:tc>
          <w:tcPr>
            <w:tcW w:w="1700" w:type="dxa"/>
          </w:tcPr>
          <w:p w14:paraId="7E645084" w14:textId="5F0E5E0D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971D275" w14:textId="2AD95B2C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Pneumonia</w:t>
            </w:r>
          </w:p>
        </w:tc>
      </w:tr>
      <w:tr w:rsidR="00EC27CC" w14:paraId="31F64C63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DC03C75" w14:textId="79161F47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Canino</w:t>
            </w:r>
          </w:p>
        </w:tc>
        <w:tc>
          <w:tcPr>
            <w:tcW w:w="1700" w:type="dxa"/>
          </w:tcPr>
          <w:p w14:paraId="52DC4EDC" w14:textId="4E2D6FC3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 anos</w:t>
            </w:r>
          </w:p>
        </w:tc>
        <w:tc>
          <w:tcPr>
            <w:tcW w:w="3963" w:type="dxa"/>
          </w:tcPr>
          <w:p w14:paraId="68CA3F96" w14:textId="1B10721B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Neoplasia</w:t>
            </w:r>
          </w:p>
        </w:tc>
      </w:tr>
      <w:tr w:rsidR="00EC27CC" w14:paraId="4E4714C8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0DD4536" w14:textId="14013C53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Canino</w:t>
            </w:r>
          </w:p>
        </w:tc>
        <w:tc>
          <w:tcPr>
            <w:tcW w:w="1700" w:type="dxa"/>
          </w:tcPr>
          <w:p w14:paraId="53B4FAE3" w14:textId="570830C2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 anos</w:t>
            </w:r>
          </w:p>
        </w:tc>
        <w:tc>
          <w:tcPr>
            <w:tcW w:w="3963" w:type="dxa"/>
          </w:tcPr>
          <w:p w14:paraId="6109C13C" w14:textId="0C637602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Neoplasia</w:t>
            </w:r>
          </w:p>
        </w:tc>
      </w:tr>
      <w:tr w:rsidR="00EC27CC" w14:paraId="5E188612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7F50B69" w14:textId="1C67F623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Felino</w:t>
            </w:r>
          </w:p>
        </w:tc>
        <w:tc>
          <w:tcPr>
            <w:tcW w:w="1700" w:type="dxa"/>
          </w:tcPr>
          <w:p w14:paraId="2EC36AF3" w14:textId="69B6BB3D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anos</w:t>
            </w:r>
          </w:p>
        </w:tc>
        <w:tc>
          <w:tcPr>
            <w:tcW w:w="3963" w:type="dxa"/>
          </w:tcPr>
          <w:p w14:paraId="19EAC1C6" w14:textId="4CD2E8B9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Neoplasia</w:t>
            </w:r>
          </w:p>
        </w:tc>
      </w:tr>
      <w:tr w:rsidR="00EC27CC" w14:paraId="31787801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EA0620A" w14:textId="1C3EB1B5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Felino</w:t>
            </w:r>
          </w:p>
        </w:tc>
        <w:tc>
          <w:tcPr>
            <w:tcW w:w="1700" w:type="dxa"/>
          </w:tcPr>
          <w:p w14:paraId="49DE102B" w14:textId="2C343789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71F2918" w14:textId="0B9F8E2F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Neoplasia</w:t>
            </w:r>
          </w:p>
        </w:tc>
      </w:tr>
      <w:tr w:rsidR="00EC27CC" w14:paraId="7AA0A776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E416A50" w14:textId="494E5B0F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Ovino</w:t>
            </w:r>
          </w:p>
        </w:tc>
        <w:tc>
          <w:tcPr>
            <w:tcW w:w="1700" w:type="dxa"/>
          </w:tcPr>
          <w:p w14:paraId="2E9879A6" w14:textId="5E083D44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2A7F8F13" w14:textId="59495AAE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Verminose</w:t>
            </w:r>
          </w:p>
        </w:tc>
      </w:tr>
      <w:tr w:rsidR="00EC27CC" w14:paraId="46B3A936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3A29B77" w14:textId="4CEBB8FB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Ovino</w:t>
            </w:r>
          </w:p>
        </w:tc>
        <w:tc>
          <w:tcPr>
            <w:tcW w:w="1700" w:type="dxa"/>
          </w:tcPr>
          <w:p w14:paraId="0032E127" w14:textId="0A2455FF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3AF43C22" w14:textId="13C1934A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Enterite necrótica</w:t>
            </w:r>
          </w:p>
        </w:tc>
      </w:tr>
      <w:tr w:rsidR="005C101A" w14:paraId="18F3E701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349C67C" w14:textId="20833730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Ovino</w:t>
            </w:r>
          </w:p>
        </w:tc>
        <w:tc>
          <w:tcPr>
            <w:tcW w:w="1700" w:type="dxa"/>
          </w:tcPr>
          <w:p w14:paraId="50506B59" w14:textId="64E8F62A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3833092D" w14:textId="2A725C90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Parasitose</w:t>
            </w:r>
          </w:p>
        </w:tc>
      </w:tr>
      <w:tr w:rsidR="00EC27CC" w14:paraId="420F33DF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43A140F" w14:textId="3F391B4A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Bovino</w:t>
            </w:r>
          </w:p>
        </w:tc>
        <w:tc>
          <w:tcPr>
            <w:tcW w:w="1700" w:type="dxa"/>
          </w:tcPr>
          <w:p w14:paraId="13204610" w14:textId="0CD8ACFE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582C99A5" w14:textId="0553CF17" w:rsidR="00EC27CC" w:rsidRDefault="00EC27CC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Má formação congênita</w:t>
            </w:r>
          </w:p>
        </w:tc>
      </w:tr>
      <w:tr w:rsidR="00EC27CC" w14:paraId="0D965D31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7D0D0A6" w14:textId="6983A213" w:rsidR="00EC27CC" w:rsidRDefault="00EC27CC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Bovino</w:t>
            </w:r>
          </w:p>
        </w:tc>
        <w:tc>
          <w:tcPr>
            <w:tcW w:w="1700" w:type="dxa"/>
          </w:tcPr>
          <w:p w14:paraId="10E12655" w14:textId="78CB27E3" w:rsidR="00EC27CC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dia</w:t>
            </w:r>
          </w:p>
        </w:tc>
        <w:tc>
          <w:tcPr>
            <w:tcW w:w="3963" w:type="dxa"/>
          </w:tcPr>
          <w:p w14:paraId="28883CEF" w14:textId="2466CAF6" w:rsidR="00EC27CC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Má formação congênita</w:t>
            </w:r>
          </w:p>
        </w:tc>
      </w:tr>
      <w:tr w:rsidR="005C101A" w14:paraId="7D93D0F2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48270EF" w14:textId="70172C2B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Bovino</w:t>
            </w:r>
          </w:p>
        </w:tc>
        <w:tc>
          <w:tcPr>
            <w:tcW w:w="1700" w:type="dxa"/>
          </w:tcPr>
          <w:p w14:paraId="7B33611B" w14:textId="70FE4DAC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 anos</w:t>
            </w:r>
          </w:p>
        </w:tc>
        <w:tc>
          <w:tcPr>
            <w:tcW w:w="3963" w:type="dxa"/>
          </w:tcPr>
          <w:p w14:paraId="7D21324E" w14:textId="7DDCB1A1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Ruptura uterina</w:t>
            </w:r>
          </w:p>
        </w:tc>
      </w:tr>
      <w:tr w:rsidR="005C101A" w14:paraId="1C4A222D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6C633E7" w14:textId="63C20C4E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Bovino</w:t>
            </w:r>
          </w:p>
        </w:tc>
        <w:tc>
          <w:tcPr>
            <w:tcW w:w="1700" w:type="dxa"/>
          </w:tcPr>
          <w:p w14:paraId="3CC1F47E" w14:textId="6B08071A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Aborto</w:t>
            </w:r>
          </w:p>
        </w:tc>
        <w:tc>
          <w:tcPr>
            <w:tcW w:w="3963" w:type="dxa"/>
          </w:tcPr>
          <w:p w14:paraId="77CD5BDD" w14:textId="4C99AC43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Pneumonia aspirativa</w:t>
            </w:r>
          </w:p>
        </w:tc>
      </w:tr>
      <w:tr w:rsidR="005C101A" w14:paraId="6777683B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286D098" w14:textId="1C93D4FA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Psitacídeo</w:t>
            </w:r>
          </w:p>
        </w:tc>
        <w:tc>
          <w:tcPr>
            <w:tcW w:w="1700" w:type="dxa"/>
          </w:tcPr>
          <w:p w14:paraId="28FD15EF" w14:textId="6E5E3496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103F4CF1" w14:textId="77E7A996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Parasitose</w:t>
            </w:r>
          </w:p>
        </w:tc>
      </w:tr>
      <w:tr w:rsidR="005C101A" w14:paraId="3C3BA5B4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0EE69D5" w14:textId="37B57786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Psitacídeo</w:t>
            </w:r>
          </w:p>
        </w:tc>
        <w:tc>
          <w:tcPr>
            <w:tcW w:w="1700" w:type="dxa"/>
          </w:tcPr>
          <w:p w14:paraId="255ECCD9" w14:textId="47B72B2B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40E56AB6" w14:textId="21F1FC10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Parasitose</w:t>
            </w:r>
          </w:p>
        </w:tc>
      </w:tr>
      <w:tr w:rsidR="005C101A" w14:paraId="0AA4D090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07FC2D6" w14:textId="6FE1C9B3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Psitacídeo</w:t>
            </w:r>
          </w:p>
        </w:tc>
        <w:tc>
          <w:tcPr>
            <w:tcW w:w="1700" w:type="dxa"/>
          </w:tcPr>
          <w:p w14:paraId="20628803" w14:textId="4403CA5E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7F08AB69" w14:textId="79B02272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Parasitose</w:t>
            </w:r>
          </w:p>
        </w:tc>
      </w:tr>
      <w:tr w:rsidR="005C101A" w14:paraId="1F63D441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0B35273" w14:textId="102204C8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Equino</w:t>
            </w:r>
          </w:p>
        </w:tc>
        <w:tc>
          <w:tcPr>
            <w:tcW w:w="1700" w:type="dxa"/>
          </w:tcPr>
          <w:p w14:paraId="2A6EFC17" w14:textId="5080BED8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anos</w:t>
            </w:r>
          </w:p>
        </w:tc>
        <w:tc>
          <w:tcPr>
            <w:tcW w:w="3963" w:type="dxa"/>
          </w:tcPr>
          <w:p w14:paraId="7EC9D0FF" w14:textId="2D0560DE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Pitiose</w:t>
            </w:r>
          </w:p>
        </w:tc>
      </w:tr>
      <w:tr w:rsidR="005C101A" w14:paraId="7CAAA77E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F38DDA0" w14:textId="2BA77EB9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Equino</w:t>
            </w:r>
          </w:p>
        </w:tc>
        <w:tc>
          <w:tcPr>
            <w:tcW w:w="1700" w:type="dxa"/>
          </w:tcPr>
          <w:p w14:paraId="239B2C67" w14:textId="53B54530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1303323A" w14:textId="747FB143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Síndrome da submersão</w:t>
            </w:r>
          </w:p>
        </w:tc>
      </w:tr>
      <w:tr w:rsidR="005C101A" w14:paraId="18D81AF0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0B81867" w14:textId="00EE64BD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Equino</w:t>
            </w:r>
          </w:p>
        </w:tc>
        <w:tc>
          <w:tcPr>
            <w:tcW w:w="1700" w:type="dxa"/>
          </w:tcPr>
          <w:p w14:paraId="118D0B60" w14:textId="549B69B8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AFA2130" w14:textId="63B2D7D9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Síndrome da submersão</w:t>
            </w:r>
          </w:p>
        </w:tc>
      </w:tr>
      <w:tr w:rsidR="005C101A" w14:paraId="5B3A0E17" w14:textId="77777777" w:rsidTr="00EC2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77515FD" w14:textId="24B78CCB" w:rsidR="005C101A" w:rsidRDefault="005C101A" w:rsidP="004772E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Equino</w:t>
            </w:r>
          </w:p>
        </w:tc>
        <w:tc>
          <w:tcPr>
            <w:tcW w:w="1700" w:type="dxa"/>
          </w:tcPr>
          <w:p w14:paraId="71D96738" w14:textId="44A19722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3C59C728" w14:textId="4BA3063C" w:rsidR="005C101A" w:rsidRDefault="005C101A" w:rsidP="004772E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Síndrome da submersão</w:t>
            </w:r>
          </w:p>
        </w:tc>
      </w:tr>
    </w:tbl>
    <w:p w14:paraId="73857F8D" w14:textId="36A50D48" w:rsidR="004772E7" w:rsidRPr="00B64966" w:rsidRDefault="00E1665C" w:rsidP="004772E7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4966">
        <w:rPr>
          <w:rFonts w:ascii="Arial" w:eastAsia="Times New Roman" w:hAnsi="Arial" w:cs="Arial"/>
          <w:sz w:val="20"/>
          <w:szCs w:val="20"/>
        </w:rPr>
        <w:t>T</w:t>
      </w:r>
      <w:r w:rsidR="004772E7" w:rsidRPr="00B64966">
        <w:rPr>
          <w:rFonts w:ascii="Arial" w:eastAsia="Times New Roman" w:hAnsi="Arial" w:cs="Arial"/>
          <w:sz w:val="20"/>
          <w:szCs w:val="20"/>
        </w:rPr>
        <w:t>ABELA 1. Espécie, idade</w:t>
      </w:r>
      <w:r w:rsidR="00E227BB" w:rsidRPr="00B64966">
        <w:rPr>
          <w:rFonts w:ascii="Arial" w:eastAsia="Times New Roman" w:hAnsi="Arial" w:cs="Arial"/>
          <w:sz w:val="20"/>
          <w:szCs w:val="20"/>
        </w:rPr>
        <w:t xml:space="preserve"> e </w:t>
      </w:r>
      <w:r w:rsidR="004772E7" w:rsidRPr="00B64966">
        <w:rPr>
          <w:rFonts w:ascii="Arial" w:eastAsia="Times New Roman" w:hAnsi="Arial" w:cs="Arial"/>
          <w:sz w:val="20"/>
          <w:szCs w:val="20"/>
        </w:rPr>
        <w:t>diagnóstic</w:t>
      </w:r>
      <w:r w:rsidR="00E227BB" w:rsidRPr="00B64966">
        <w:rPr>
          <w:rFonts w:ascii="Arial" w:eastAsia="Times New Roman" w:hAnsi="Arial" w:cs="Arial"/>
          <w:sz w:val="20"/>
          <w:szCs w:val="20"/>
        </w:rPr>
        <w:t>o</w:t>
      </w:r>
      <w:r w:rsidR="004772E7" w:rsidRPr="00B64966">
        <w:rPr>
          <w:rFonts w:ascii="Arial" w:eastAsia="Times New Roman" w:hAnsi="Arial" w:cs="Arial"/>
          <w:sz w:val="20"/>
          <w:szCs w:val="20"/>
        </w:rPr>
        <w:t xml:space="preserve"> dos cadáveres recebidos e necropsiados pelo grupo. Nos campos preenchidos por </w:t>
      </w:r>
      <w:r w:rsidR="00E227BB" w:rsidRPr="00B64966">
        <w:rPr>
          <w:rFonts w:ascii="Arial" w:eastAsia="Times New Roman" w:hAnsi="Arial" w:cs="Arial"/>
          <w:sz w:val="20"/>
          <w:szCs w:val="20"/>
        </w:rPr>
        <w:t>“-”</w:t>
      </w:r>
      <w:r w:rsidR="004772E7" w:rsidRPr="00B64966">
        <w:rPr>
          <w:rFonts w:ascii="Arial" w:eastAsia="Times New Roman" w:hAnsi="Arial" w:cs="Arial"/>
          <w:sz w:val="20"/>
          <w:szCs w:val="20"/>
        </w:rPr>
        <w:t>, a idade dos animais não foi definida. Os animais sem histórico e suspeita diagnóstica foram cadáveres originados de doação.</w:t>
      </w:r>
    </w:p>
    <w:p w14:paraId="70BA93E0" w14:textId="528834AE" w:rsidR="00E227BB" w:rsidRDefault="00E227BB" w:rsidP="004772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Todos os animais </w:t>
      </w:r>
      <w:r w:rsidR="002D0F33">
        <w:rPr>
          <w:rFonts w:ascii="Arial" w:eastAsia="Times New Roman" w:hAnsi="Arial" w:cs="Arial"/>
          <w:sz w:val="24"/>
          <w:szCs w:val="24"/>
        </w:rPr>
        <w:t xml:space="preserve">tiveram material </w:t>
      </w:r>
      <w:r>
        <w:rPr>
          <w:rFonts w:ascii="Arial" w:eastAsia="Times New Roman" w:hAnsi="Arial" w:cs="Arial"/>
          <w:sz w:val="24"/>
          <w:szCs w:val="24"/>
        </w:rPr>
        <w:t>devidamente coletado</w:t>
      </w:r>
      <w:r w:rsidR="002D0F33">
        <w:rPr>
          <w:rFonts w:ascii="Arial" w:eastAsia="Times New Roman" w:hAnsi="Arial" w:cs="Arial"/>
          <w:sz w:val="24"/>
          <w:szCs w:val="24"/>
        </w:rPr>
        <w:t xml:space="preserve"> e fixado em formol 10%.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D0F33">
        <w:rPr>
          <w:rFonts w:ascii="Arial" w:eastAsia="Times New Roman" w:hAnsi="Arial" w:cs="Arial"/>
          <w:sz w:val="24"/>
          <w:szCs w:val="24"/>
        </w:rPr>
        <w:t>Em alguns casos foi possível reconhecer o agente patológico ainda na inspeção macroscópica durante a necropsia como no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D0F33">
        <w:rPr>
          <w:rFonts w:ascii="Arial" w:eastAsia="Times New Roman" w:hAnsi="Arial" w:cs="Arial"/>
          <w:sz w:val="24"/>
          <w:szCs w:val="24"/>
        </w:rPr>
        <w:t xml:space="preserve">caso do </w:t>
      </w:r>
      <w:r>
        <w:rPr>
          <w:rFonts w:ascii="Arial" w:eastAsia="Times New Roman" w:hAnsi="Arial" w:cs="Arial"/>
          <w:sz w:val="24"/>
          <w:szCs w:val="24"/>
        </w:rPr>
        <w:t xml:space="preserve">ovino com Hemoncose e outro ovino que apresentava inúmeras larvas de Oestrus Ovis. Dentre o restante dos animais que não constam na tabela, nem todos os animais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tiveram material enviado para exame histopatológico, ainda que se tenha coletado material de todos. Os psitacídeos restantes que não se encontram </w:t>
      </w:r>
      <w:r w:rsidR="00B64966">
        <w:rPr>
          <w:rFonts w:ascii="Arial" w:eastAsia="Times New Roman" w:hAnsi="Arial" w:cs="Arial"/>
          <w:sz w:val="24"/>
          <w:szCs w:val="24"/>
        </w:rPr>
        <w:t>no quadro acima estavam em estado avançado de autólise o que não permitiu fechamento de diagnóstico mesmo na análise microscópica.</w:t>
      </w:r>
    </w:p>
    <w:p w14:paraId="46EFD94F" w14:textId="5E46D240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A3A55">
        <w:rPr>
          <w:rFonts w:ascii="Arial" w:eastAsia="Times New Roman" w:hAnsi="Arial" w:cs="Arial"/>
          <w:b/>
          <w:bCs/>
          <w:sz w:val="24"/>
          <w:szCs w:val="24"/>
        </w:rPr>
        <w:t>Conclus</w:t>
      </w:r>
      <w:r>
        <w:rPr>
          <w:rFonts w:ascii="Arial" w:eastAsia="Times New Roman" w:hAnsi="Arial" w:cs="Arial"/>
          <w:b/>
          <w:bCs/>
          <w:sz w:val="24"/>
          <w:szCs w:val="24"/>
        </w:rPr>
        <w:t>ões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10B01AD" w14:textId="43F88CD1" w:rsid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A55">
        <w:rPr>
          <w:rFonts w:ascii="Arial" w:eastAsia="Times New Roman" w:hAnsi="Arial" w:cs="Arial"/>
          <w:sz w:val="24"/>
          <w:szCs w:val="24"/>
        </w:rPr>
        <w:t>Apesar d</w:t>
      </w:r>
      <w:r w:rsidR="00B64966">
        <w:rPr>
          <w:rFonts w:ascii="Arial" w:eastAsia="Times New Roman" w:hAnsi="Arial" w:cs="Arial"/>
          <w:sz w:val="24"/>
          <w:szCs w:val="24"/>
        </w:rPr>
        <w:t>e algumas</w:t>
      </w:r>
      <w:r w:rsidRPr="006A3A55">
        <w:rPr>
          <w:rFonts w:ascii="Arial" w:eastAsia="Times New Roman" w:hAnsi="Arial" w:cs="Arial"/>
          <w:sz w:val="24"/>
          <w:szCs w:val="24"/>
        </w:rPr>
        <w:t xml:space="preserve"> amostras não serem enviadas ao histopatológico, sabe-se que a participação em exames necroscópicos provê uma melhor compreensão da anatomia das diferentes espécies e dos processos patológicos que</w:t>
      </w:r>
      <w:r w:rsidR="00B64966">
        <w:rPr>
          <w:rFonts w:ascii="Arial" w:eastAsia="Times New Roman" w:hAnsi="Arial" w:cs="Arial"/>
          <w:sz w:val="24"/>
          <w:szCs w:val="24"/>
        </w:rPr>
        <w:t xml:space="preserve"> os</w:t>
      </w:r>
      <w:r w:rsidRPr="006A3A55">
        <w:rPr>
          <w:rFonts w:ascii="Arial" w:eastAsia="Times New Roman" w:hAnsi="Arial" w:cs="Arial"/>
          <w:sz w:val="24"/>
          <w:szCs w:val="24"/>
        </w:rPr>
        <w:t xml:space="preserve"> acomete</w:t>
      </w:r>
      <w:r w:rsidR="00B64966">
        <w:rPr>
          <w:rFonts w:ascii="Arial" w:eastAsia="Times New Roman" w:hAnsi="Arial" w:cs="Arial"/>
          <w:sz w:val="24"/>
          <w:szCs w:val="24"/>
        </w:rPr>
        <w:t>m</w:t>
      </w:r>
      <w:r w:rsidRPr="006A3A55">
        <w:rPr>
          <w:rFonts w:ascii="Arial" w:eastAsia="Times New Roman" w:hAnsi="Arial" w:cs="Arial"/>
          <w:sz w:val="24"/>
          <w:szCs w:val="24"/>
        </w:rPr>
        <w:t>. Desta forma, este projeto serviu de alavanca para o desenvolvimento dos alunos do projeto e alunos de diversos Núcleos de Estudos do curso de Medicina Veterinária do Centro Universitário Ritter dos Reis (UniRitter).</w:t>
      </w:r>
    </w:p>
    <w:p w14:paraId="3ECE104E" w14:textId="77777777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Referências: </w:t>
      </w:r>
    </w:p>
    <w:p w14:paraId="02545CF4" w14:textId="77777777" w:rsid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A55">
        <w:rPr>
          <w:rFonts w:ascii="Arial" w:eastAsia="Times New Roman" w:hAnsi="Arial" w:cs="Arial"/>
          <w:sz w:val="24"/>
          <w:szCs w:val="24"/>
        </w:rPr>
        <w:t xml:space="preserve">BARROS, C.S.L. Guia de Técnica de Necropsia dos Mamíferos Domésticos. 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>Santa Maria: Imprensa Universitária</w:t>
      </w:r>
      <w:r w:rsidRPr="006A3A55">
        <w:rPr>
          <w:rFonts w:ascii="Arial" w:eastAsia="Times New Roman" w:hAnsi="Arial" w:cs="Arial"/>
          <w:sz w:val="24"/>
          <w:szCs w:val="24"/>
        </w:rPr>
        <w:t>, UFSM. 1989;47p.</w:t>
      </w:r>
    </w:p>
    <w:p w14:paraId="094AFC78" w14:textId="745F22E7" w:rsidR="00957DE1" w:rsidRPr="006A3A55" w:rsidRDefault="00957DE1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7DE1">
        <w:rPr>
          <w:rFonts w:ascii="Arial" w:eastAsia="Times New Roman" w:hAnsi="Arial" w:cs="Arial"/>
          <w:sz w:val="24"/>
          <w:szCs w:val="24"/>
        </w:rPr>
        <w:t>BIDAISEE, Satesh; MACPHERSON, Calum NL. Zoonoses and one health: a review of the literature. </w:t>
      </w:r>
      <w:r w:rsidRPr="00957DE1">
        <w:rPr>
          <w:rFonts w:ascii="Arial" w:eastAsia="Times New Roman" w:hAnsi="Arial" w:cs="Arial"/>
          <w:b/>
          <w:bCs/>
          <w:sz w:val="24"/>
          <w:szCs w:val="24"/>
        </w:rPr>
        <w:t>Journal of parasitology research</w:t>
      </w:r>
      <w:r w:rsidRPr="00957DE1">
        <w:rPr>
          <w:rFonts w:ascii="Arial" w:eastAsia="Times New Roman" w:hAnsi="Arial" w:cs="Arial"/>
          <w:sz w:val="24"/>
          <w:szCs w:val="24"/>
        </w:rPr>
        <w:t>, v. 2014, n. 1, p. 874345, 2014.</w:t>
      </w:r>
    </w:p>
    <w:p w14:paraId="797E9D3B" w14:textId="77777777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A55">
        <w:rPr>
          <w:rFonts w:ascii="Arial" w:eastAsia="Times New Roman" w:hAnsi="Arial" w:cs="Arial"/>
          <w:sz w:val="24"/>
          <w:szCs w:val="24"/>
        </w:rPr>
        <w:t>ESPINOSA, B.G. Generalidades sobre las autopsias, REA: EJ Autopsy, p4-18, 2008.</w:t>
      </w:r>
    </w:p>
    <w:p w14:paraId="0962E12B" w14:textId="77CE38E5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6A3A55">
        <w:rPr>
          <w:rFonts w:ascii="Arial" w:eastAsia="Times New Roman" w:hAnsi="Arial" w:cs="Arial"/>
          <w:sz w:val="24"/>
          <w:szCs w:val="24"/>
          <w:lang w:val="en-US"/>
        </w:rPr>
        <w:t xml:space="preserve">LAW M.; STROMBERG P.; MEUTEN D. &amp; CULLEN J. Necropsy or Autopsy? It’s All About Communication! Veterinary Pathology. </w:t>
      </w:r>
      <w:r w:rsidRPr="006A3A55">
        <w:rPr>
          <w:rFonts w:ascii="Arial" w:eastAsia="Times New Roman" w:hAnsi="Arial" w:cs="Arial"/>
          <w:b/>
          <w:bCs/>
          <w:sz w:val="24"/>
          <w:szCs w:val="24"/>
          <w:lang w:val="en-US"/>
        </w:rPr>
        <w:t>The American College of Veterinary Pathologists</w:t>
      </w:r>
      <w:r w:rsidR="00957DE1">
        <w:rPr>
          <w:rFonts w:ascii="Arial" w:eastAsia="Times New Roman" w:hAnsi="Arial" w:cs="Arial"/>
          <w:b/>
          <w:bCs/>
          <w:sz w:val="24"/>
          <w:szCs w:val="24"/>
          <w:lang w:val="en-US"/>
        </w:rPr>
        <w:t>,</w:t>
      </w:r>
      <w:r w:rsidRPr="006A3A55">
        <w:rPr>
          <w:rFonts w:ascii="Arial" w:eastAsia="Times New Roman" w:hAnsi="Arial" w:cs="Arial"/>
          <w:sz w:val="24"/>
          <w:szCs w:val="24"/>
          <w:lang w:val="en-US"/>
        </w:rPr>
        <w:t xml:space="preserve"> 2012.</w:t>
      </w:r>
    </w:p>
    <w:p w14:paraId="3164D50F" w14:textId="6F6130BF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A55">
        <w:rPr>
          <w:rFonts w:ascii="Arial" w:eastAsia="Times New Roman" w:hAnsi="Arial" w:cs="Arial"/>
          <w:sz w:val="24"/>
          <w:szCs w:val="24"/>
        </w:rPr>
        <w:t xml:space="preserve">PEIXOTO P.V.; BARROS C.S.L. A importância da necropsia em medicina veterinária. 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>Pesq</w:t>
      </w:r>
      <w:r w:rsidR="00957DE1" w:rsidRPr="006028AE">
        <w:rPr>
          <w:rFonts w:ascii="Arial" w:eastAsia="Times New Roman" w:hAnsi="Arial" w:cs="Arial"/>
          <w:b/>
          <w:bCs/>
          <w:sz w:val="24"/>
          <w:szCs w:val="24"/>
        </w:rPr>
        <w:t>uisa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 Ve</w:t>
      </w:r>
      <w:r w:rsidR="00957DE1" w:rsidRPr="006028AE">
        <w:rPr>
          <w:rFonts w:ascii="Arial" w:eastAsia="Times New Roman" w:hAnsi="Arial" w:cs="Arial"/>
          <w:b/>
          <w:bCs/>
          <w:sz w:val="24"/>
          <w:szCs w:val="24"/>
        </w:rPr>
        <w:t>terinária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 Bras</w:t>
      </w:r>
      <w:r w:rsidR="00957DE1" w:rsidRPr="006028AE">
        <w:rPr>
          <w:rFonts w:ascii="Arial" w:eastAsia="Times New Roman" w:hAnsi="Arial" w:cs="Arial"/>
          <w:b/>
          <w:bCs/>
          <w:sz w:val="24"/>
          <w:szCs w:val="24"/>
        </w:rPr>
        <w:t>ileira</w:t>
      </w:r>
      <w:r w:rsidR="00957DE1">
        <w:rPr>
          <w:rFonts w:ascii="Arial" w:eastAsia="Times New Roman" w:hAnsi="Arial" w:cs="Arial"/>
          <w:sz w:val="24"/>
          <w:szCs w:val="24"/>
        </w:rPr>
        <w:t>.</w:t>
      </w:r>
      <w:r w:rsidRPr="006A3A55">
        <w:rPr>
          <w:rFonts w:ascii="Arial" w:eastAsia="Times New Roman" w:hAnsi="Arial" w:cs="Arial"/>
          <w:sz w:val="24"/>
          <w:szCs w:val="24"/>
        </w:rPr>
        <w:t xml:space="preserve"> 1998</w:t>
      </w:r>
      <w:r w:rsidR="006028AE">
        <w:rPr>
          <w:rFonts w:ascii="Arial" w:eastAsia="Times New Roman" w:hAnsi="Arial" w:cs="Arial"/>
          <w:sz w:val="24"/>
          <w:szCs w:val="24"/>
        </w:rPr>
        <w:t xml:space="preserve">, </w:t>
      </w:r>
      <w:r w:rsidRPr="006A3A55">
        <w:rPr>
          <w:rFonts w:ascii="Arial" w:eastAsia="Times New Roman" w:hAnsi="Arial" w:cs="Arial"/>
          <w:sz w:val="24"/>
          <w:szCs w:val="24"/>
        </w:rPr>
        <w:t>18:3-4.</w:t>
      </w:r>
    </w:p>
    <w:p w14:paraId="044E8143" w14:textId="2473569B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A55">
        <w:rPr>
          <w:rFonts w:ascii="Arial" w:eastAsia="Times New Roman" w:hAnsi="Arial" w:cs="Arial"/>
          <w:sz w:val="24"/>
          <w:szCs w:val="24"/>
        </w:rPr>
        <w:t xml:space="preserve">ZANELLA J.R.C. Zoonoses emergentes e reemergentes e sua importância para saúde e produção animal. 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>Pesq</w:t>
      </w:r>
      <w:r w:rsidR="006028AE">
        <w:rPr>
          <w:rFonts w:ascii="Arial" w:eastAsia="Times New Roman" w:hAnsi="Arial" w:cs="Arial"/>
          <w:b/>
          <w:bCs/>
          <w:sz w:val="24"/>
          <w:szCs w:val="24"/>
        </w:rPr>
        <w:t>uisa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 agropec</w:t>
      </w:r>
      <w:r w:rsidR="006028AE">
        <w:rPr>
          <w:rFonts w:ascii="Arial" w:eastAsia="Times New Roman" w:hAnsi="Arial" w:cs="Arial"/>
          <w:b/>
          <w:bCs/>
          <w:sz w:val="24"/>
          <w:szCs w:val="24"/>
        </w:rPr>
        <w:t>uária</w:t>
      </w: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 bras</w:t>
      </w:r>
      <w:r w:rsidR="006028AE" w:rsidRPr="006028AE">
        <w:rPr>
          <w:rFonts w:ascii="Arial" w:eastAsia="Times New Roman" w:hAnsi="Arial" w:cs="Arial"/>
          <w:b/>
          <w:bCs/>
          <w:sz w:val="24"/>
          <w:szCs w:val="24"/>
        </w:rPr>
        <w:t>ileira</w:t>
      </w:r>
      <w:r w:rsidRPr="006A3A55">
        <w:rPr>
          <w:rFonts w:ascii="Arial" w:eastAsia="Times New Roman" w:hAnsi="Arial" w:cs="Arial"/>
          <w:sz w:val="24"/>
          <w:szCs w:val="24"/>
        </w:rPr>
        <w:t xml:space="preserve">. vol.51 n. 05, </w:t>
      </w:r>
      <w:r w:rsidR="00770E3D" w:rsidRPr="006A3A55">
        <w:rPr>
          <w:rFonts w:ascii="Arial" w:eastAsia="Times New Roman" w:hAnsi="Arial" w:cs="Arial"/>
          <w:sz w:val="24"/>
          <w:szCs w:val="24"/>
        </w:rPr>
        <w:t>maio</w:t>
      </w:r>
      <w:r w:rsidRPr="006A3A55">
        <w:rPr>
          <w:rFonts w:ascii="Arial" w:eastAsia="Times New Roman" w:hAnsi="Arial" w:cs="Arial"/>
          <w:sz w:val="24"/>
          <w:szCs w:val="24"/>
        </w:rPr>
        <w:t xml:space="preserve"> 2016.</w:t>
      </w:r>
    </w:p>
    <w:p w14:paraId="52C18E87" w14:textId="77777777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A3A55">
        <w:rPr>
          <w:rFonts w:ascii="Arial" w:eastAsia="Times New Roman" w:hAnsi="Arial" w:cs="Arial"/>
          <w:b/>
          <w:bCs/>
          <w:sz w:val="24"/>
          <w:szCs w:val="24"/>
        </w:rPr>
        <w:t xml:space="preserve">Fomento: </w:t>
      </w:r>
    </w:p>
    <w:p w14:paraId="6685AACE" w14:textId="70583FF5" w:rsidR="006A3A55" w:rsidRPr="006A3A55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3A55">
        <w:rPr>
          <w:rFonts w:ascii="Arial" w:eastAsia="Times New Roman" w:hAnsi="Arial" w:cs="Arial"/>
          <w:sz w:val="24"/>
          <w:szCs w:val="24"/>
        </w:rPr>
        <w:lastRenderedPageBreak/>
        <w:t>O trabalho teve a concessão de Bolsa pelo programa PROCIÊNCIA 202</w:t>
      </w:r>
      <w:r w:rsidR="00B64966">
        <w:rPr>
          <w:rFonts w:ascii="Arial" w:eastAsia="Times New Roman" w:hAnsi="Arial" w:cs="Arial"/>
          <w:sz w:val="24"/>
          <w:szCs w:val="24"/>
        </w:rPr>
        <w:t>4</w:t>
      </w:r>
      <w:r w:rsidRPr="006A3A55">
        <w:rPr>
          <w:rFonts w:ascii="Arial" w:eastAsia="Times New Roman" w:hAnsi="Arial" w:cs="Arial"/>
          <w:sz w:val="24"/>
          <w:szCs w:val="24"/>
        </w:rPr>
        <w:t>/</w:t>
      </w:r>
      <w:r w:rsidR="00B64966">
        <w:rPr>
          <w:rFonts w:ascii="Arial" w:eastAsia="Times New Roman" w:hAnsi="Arial" w:cs="Arial"/>
          <w:sz w:val="24"/>
          <w:szCs w:val="24"/>
        </w:rPr>
        <w:t>1</w:t>
      </w:r>
      <w:r w:rsidRPr="006A3A55">
        <w:rPr>
          <w:rFonts w:ascii="Arial" w:eastAsia="Times New Roman" w:hAnsi="Arial" w:cs="Arial"/>
          <w:sz w:val="24"/>
          <w:szCs w:val="24"/>
        </w:rPr>
        <w:t xml:space="preserve"> - Ecossistema Ânima [ProCiência].</w:t>
      </w:r>
    </w:p>
    <w:p w14:paraId="0A867AD0" w14:textId="77777777" w:rsidR="006A3A55" w:rsidRPr="004772E7" w:rsidRDefault="006A3A55" w:rsidP="006A3A5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DE12DE" w14:textId="77777777" w:rsidR="004772E7" w:rsidRPr="006B77BA" w:rsidRDefault="004772E7" w:rsidP="004772E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4772E7" w:rsidRPr="006B7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9CCA7" w14:textId="77777777" w:rsidR="00521150" w:rsidRDefault="00521150" w:rsidP="006B77BA">
      <w:pPr>
        <w:spacing w:after="0" w:line="240" w:lineRule="auto"/>
      </w:pPr>
      <w:r>
        <w:separator/>
      </w:r>
    </w:p>
  </w:endnote>
  <w:endnote w:type="continuationSeparator" w:id="0">
    <w:p w14:paraId="5C729369" w14:textId="77777777" w:rsidR="00521150" w:rsidRDefault="00521150" w:rsidP="006B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92E88" w14:textId="77777777" w:rsidR="00521150" w:rsidRDefault="00521150" w:rsidP="006B77BA">
      <w:pPr>
        <w:spacing w:after="0" w:line="240" w:lineRule="auto"/>
      </w:pPr>
      <w:r>
        <w:separator/>
      </w:r>
    </w:p>
  </w:footnote>
  <w:footnote w:type="continuationSeparator" w:id="0">
    <w:p w14:paraId="210AF7F8" w14:textId="77777777" w:rsidR="00521150" w:rsidRDefault="00521150" w:rsidP="006B77BA">
      <w:pPr>
        <w:spacing w:after="0" w:line="240" w:lineRule="auto"/>
      </w:pPr>
      <w:r>
        <w:continuationSeparator/>
      </w:r>
    </w:p>
  </w:footnote>
  <w:footnote w:id="1">
    <w:p w14:paraId="1A41E8D6" w14:textId="217D47F6" w:rsidR="004772E7" w:rsidRPr="006A3A55" w:rsidRDefault="004772E7" w:rsidP="006A3A55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A3A55">
        <w:rPr>
          <w:rStyle w:val="Refdenotaderodap"/>
          <w:rFonts w:ascii="Arial" w:hAnsi="Arial" w:cs="Arial"/>
          <w:sz w:val="20"/>
          <w:szCs w:val="20"/>
        </w:rPr>
        <w:footnoteRef/>
      </w:r>
      <w:r w:rsidRPr="006A3A55">
        <w:rPr>
          <w:rFonts w:ascii="Arial" w:hAnsi="Arial" w:cs="Arial"/>
          <w:sz w:val="20"/>
          <w:szCs w:val="20"/>
        </w:rPr>
        <w:t xml:space="preserve"> </w:t>
      </w:r>
      <w:r w:rsidR="006A3A55" w:rsidRPr="006A3A55">
        <w:rPr>
          <w:rStyle w:val="normaltextrun"/>
          <w:rFonts w:ascii="Arial" w:hAnsi="Arial" w:cs="Arial"/>
          <w:color w:val="000000"/>
          <w:sz w:val="20"/>
          <w:szCs w:val="20"/>
        </w:rPr>
        <w:t xml:space="preserve">Acadêmico(a) de Medicina Veterinária, Centro Universitário Ritter dos Reis, Porto Alegre, RS, Brasil. Emai: </w:t>
      </w:r>
    </w:p>
  </w:footnote>
  <w:footnote w:id="2">
    <w:p w14:paraId="4D46DF1B" w14:textId="4E2FF956" w:rsidR="006A3A55" w:rsidRPr="006A3A55" w:rsidRDefault="006A3A55" w:rsidP="006A3A55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rFonts w:ascii="Arial" w:hAnsi="Arial" w:cs="Arial"/>
          <w:sz w:val="20"/>
          <w:szCs w:val="20"/>
        </w:rPr>
      </w:pPr>
      <w:r w:rsidRPr="006A3A55">
        <w:rPr>
          <w:rStyle w:val="Refdenotaderodap"/>
          <w:rFonts w:ascii="Arial" w:hAnsi="Arial" w:cs="Arial"/>
          <w:sz w:val="20"/>
          <w:szCs w:val="20"/>
        </w:rPr>
        <w:footnoteRef/>
      </w:r>
      <w:r w:rsidRPr="006A3A55">
        <w:rPr>
          <w:rFonts w:ascii="Arial" w:hAnsi="Arial" w:cs="Arial"/>
          <w:sz w:val="20"/>
          <w:szCs w:val="20"/>
        </w:rPr>
        <w:t xml:space="preserve"> Professora do Curso de Medicina Veterinária, Centro Universitário Ritter dos Reis, Porto Alegre, RS, Brasil. Email: ana.c.coelho@animaeducacao.com.br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AC"/>
    <w:rsid w:val="00124BB3"/>
    <w:rsid w:val="001B4F63"/>
    <w:rsid w:val="0024216A"/>
    <w:rsid w:val="002D0F33"/>
    <w:rsid w:val="003358C6"/>
    <w:rsid w:val="003C3A64"/>
    <w:rsid w:val="004772E7"/>
    <w:rsid w:val="00521150"/>
    <w:rsid w:val="005C101A"/>
    <w:rsid w:val="005E103D"/>
    <w:rsid w:val="006028AE"/>
    <w:rsid w:val="00687CC3"/>
    <w:rsid w:val="006A3A55"/>
    <w:rsid w:val="006B77BA"/>
    <w:rsid w:val="00770E3D"/>
    <w:rsid w:val="00865E82"/>
    <w:rsid w:val="00957DE1"/>
    <w:rsid w:val="00B64966"/>
    <w:rsid w:val="00C22073"/>
    <w:rsid w:val="00E1665C"/>
    <w:rsid w:val="00E227BB"/>
    <w:rsid w:val="00E3650A"/>
    <w:rsid w:val="00E9520F"/>
    <w:rsid w:val="00EC27CC"/>
    <w:rsid w:val="00EF7635"/>
    <w:rsid w:val="00F368AF"/>
    <w:rsid w:val="00F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F3689"/>
  <w15:chartTrackingRefBased/>
  <w15:docId w15:val="{F0F3FE9A-8F1C-4A4E-9E4A-BB27CBB9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42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2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2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2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2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2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42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42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42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2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2A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7BA"/>
  </w:style>
  <w:style w:type="paragraph" w:styleId="Rodap">
    <w:name w:val="footer"/>
    <w:basedOn w:val="Normal"/>
    <w:link w:val="RodapChar"/>
    <w:uiPriority w:val="99"/>
    <w:unhideWhenUsed/>
    <w:rsid w:val="006B7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7BA"/>
  </w:style>
  <w:style w:type="paragraph" w:customStyle="1" w:styleId="paragraph">
    <w:name w:val="paragraph"/>
    <w:basedOn w:val="Normal"/>
    <w:rsid w:val="006B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77B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72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72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72E7"/>
    <w:rPr>
      <w:vertAlign w:val="superscript"/>
    </w:rPr>
  </w:style>
  <w:style w:type="table" w:styleId="Tabelacomgrade">
    <w:name w:val="Table Grid"/>
    <w:basedOn w:val="Tabelanormal"/>
    <w:uiPriority w:val="39"/>
    <w:rsid w:val="00EC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EC27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C27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681D-3DF3-48EE-B150-BCF332F4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5</Pages>
  <Words>1132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5</cp:revision>
  <dcterms:created xsi:type="dcterms:W3CDTF">2024-11-26T19:04:00Z</dcterms:created>
  <dcterms:modified xsi:type="dcterms:W3CDTF">2024-11-27T18:32:00Z</dcterms:modified>
</cp:coreProperties>
</file>