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7AC1" w14:textId="5BA3171A" w:rsidR="00987CFF" w:rsidRPr="00403C5C" w:rsidRDefault="0030253E" w:rsidP="00C82AF8">
      <w:pPr>
        <w:spacing w:line="200" w:lineRule="exact"/>
      </w:pPr>
      <w:r w:rsidRPr="00403C5C">
        <w:rPr>
          <w:noProof/>
        </w:rPr>
        <w:drawing>
          <wp:anchor distT="0" distB="0" distL="114300" distR="114300" simplePos="0" relativeHeight="251644416" behindDoc="1" locked="0" layoutInCell="0" allowOverlap="1" wp14:anchorId="4F44C063" wp14:editId="4B0AB121">
            <wp:simplePos x="0" y="0"/>
            <wp:positionH relativeFrom="page">
              <wp:posOffset>1143000</wp:posOffset>
            </wp:positionH>
            <wp:positionV relativeFrom="page">
              <wp:posOffset>447674</wp:posOffset>
            </wp:positionV>
            <wp:extent cx="1104900" cy="8238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08" cy="8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C5C">
        <w:rPr>
          <w:noProof/>
        </w:rPr>
        <w:drawing>
          <wp:anchor distT="0" distB="0" distL="114300" distR="114300" simplePos="0" relativeHeight="251639296" behindDoc="1" locked="0" layoutInCell="0" allowOverlap="1" wp14:anchorId="30745023" wp14:editId="71B47DED">
            <wp:simplePos x="0" y="0"/>
            <wp:positionH relativeFrom="page">
              <wp:posOffset>5343525</wp:posOffset>
            </wp:positionH>
            <wp:positionV relativeFrom="page">
              <wp:posOffset>447675</wp:posOffset>
            </wp:positionV>
            <wp:extent cx="1456055" cy="81846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22" cy="821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9EA53" w14:textId="77777777" w:rsidR="00987CFF" w:rsidRPr="00403C5C" w:rsidRDefault="00987CFF" w:rsidP="00C82AF8">
      <w:pPr>
        <w:spacing w:line="200" w:lineRule="exact"/>
      </w:pPr>
    </w:p>
    <w:p w14:paraId="600F2C12" w14:textId="77777777" w:rsidR="00987CFF" w:rsidRPr="00403C5C" w:rsidRDefault="00987CFF" w:rsidP="00C82AF8">
      <w:pPr>
        <w:spacing w:line="200" w:lineRule="exact"/>
      </w:pPr>
    </w:p>
    <w:p w14:paraId="411A980A" w14:textId="77777777" w:rsidR="00987CFF" w:rsidRPr="00403C5C" w:rsidRDefault="00987CFF" w:rsidP="00C82AF8">
      <w:pPr>
        <w:spacing w:line="200" w:lineRule="exact"/>
      </w:pPr>
    </w:p>
    <w:p w14:paraId="0BFEB450" w14:textId="77777777" w:rsidR="00C82AF8" w:rsidRPr="00403C5C" w:rsidRDefault="00C82AF8" w:rsidP="00C82AF8">
      <w:pPr>
        <w:spacing w:line="360" w:lineRule="auto"/>
        <w:jc w:val="center"/>
        <w:rPr>
          <w:b/>
        </w:rPr>
      </w:pPr>
      <w:r w:rsidRPr="00403C5C">
        <w:rPr>
          <w:b/>
        </w:rPr>
        <w:t xml:space="preserve">VALIDADE DE KIT EDUCATIVO PARA AVALIAÇÃO DO DESENVOLVIMENTO NEUROPSICOMOTOR EM CRIANÇAS DE 0 A 2 ANOS </w:t>
      </w:r>
    </w:p>
    <w:p w14:paraId="455814FD" w14:textId="77777777" w:rsidR="00C82AF8" w:rsidRPr="00403C5C" w:rsidRDefault="00C82AF8" w:rsidP="00C82A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0FDD400" w14:textId="2045BBC8" w:rsidR="00987CFF" w:rsidRPr="00403C5C" w:rsidRDefault="0030253E" w:rsidP="00302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490E1A">
        <w:rPr>
          <w:color w:val="000000"/>
          <w:sz w:val="24"/>
          <w:szCs w:val="24"/>
        </w:rPr>
        <w:t xml:space="preserve">Tayana </w:t>
      </w:r>
      <w:r w:rsidRPr="00490E1A">
        <w:rPr>
          <w:sz w:val="24"/>
          <w:szCs w:val="24"/>
        </w:rPr>
        <w:t xml:space="preserve">Parisi </w:t>
      </w:r>
      <w:r w:rsidRPr="00490E1A">
        <w:rPr>
          <w:color w:val="000000"/>
          <w:sz w:val="24"/>
          <w:szCs w:val="24"/>
        </w:rPr>
        <w:t>Knoll</w:t>
      </w:r>
      <w:r>
        <w:rPr>
          <w:color w:val="000000"/>
          <w:sz w:val="24"/>
          <w:szCs w:val="24"/>
        </w:rPr>
        <w:t xml:space="preserve">, </w:t>
      </w:r>
      <w:r w:rsidRPr="00490E1A">
        <w:rPr>
          <w:color w:val="000000"/>
          <w:sz w:val="24"/>
          <w:szCs w:val="24"/>
        </w:rPr>
        <w:t xml:space="preserve">Natália </w:t>
      </w:r>
      <w:r w:rsidRPr="00490E1A">
        <w:rPr>
          <w:sz w:val="24"/>
          <w:szCs w:val="24"/>
        </w:rPr>
        <w:t xml:space="preserve">Taís </w:t>
      </w:r>
      <w:r w:rsidRPr="00490E1A">
        <w:rPr>
          <w:color w:val="000000"/>
          <w:sz w:val="24"/>
          <w:szCs w:val="24"/>
        </w:rPr>
        <w:t>Konrad</w:t>
      </w:r>
      <w:r>
        <w:rPr>
          <w:color w:val="000000"/>
          <w:sz w:val="24"/>
          <w:szCs w:val="24"/>
        </w:rPr>
        <w:t>, M</w:t>
      </w:r>
      <w:r>
        <w:rPr>
          <w:rFonts w:eastAsia="Calibri"/>
        </w:rPr>
        <w:t>arina Vasconcelos,</w:t>
      </w:r>
      <w:r w:rsidR="00000000" w:rsidRPr="00403C5C">
        <w:rPr>
          <w:rFonts w:eastAsia="Calibri"/>
        </w:rPr>
        <w:t xml:space="preserve"> </w:t>
      </w:r>
      <w:r>
        <w:rPr>
          <w:rFonts w:eastAsia="Calibri"/>
        </w:rPr>
        <w:t>Maria Eduarda Pertile, Marina Iser, Giulia</w:t>
      </w:r>
      <w:r w:rsidR="0008060E">
        <w:rPr>
          <w:rFonts w:eastAsia="Calibri"/>
        </w:rPr>
        <w:t xml:space="preserve"> </w:t>
      </w:r>
      <w:r w:rsidR="0008060E" w:rsidRPr="0008060E">
        <w:rPr>
          <w:rFonts w:eastAsia="Calibri"/>
        </w:rPr>
        <w:t>Zulianello</w:t>
      </w:r>
      <w:r>
        <w:rPr>
          <w:rFonts w:eastAsia="Calibri"/>
        </w:rPr>
        <w:t xml:space="preserve">, Giovanna Navarro, Augusto Ikeda, </w:t>
      </w:r>
      <w:r w:rsidR="0008060E">
        <w:rPr>
          <w:rFonts w:eastAsia="Calibri"/>
        </w:rPr>
        <w:t xml:space="preserve">Amanda Gomes, </w:t>
      </w:r>
      <w:r>
        <w:rPr>
          <w:rFonts w:eastAsia="Calibri"/>
        </w:rPr>
        <w:t>Christopher Raimundo, Henrique</w:t>
      </w:r>
      <w:r w:rsidR="0008060E">
        <w:rPr>
          <w:rFonts w:eastAsia="Calibri"/>
        </w:rPr>
        <w:t xml:space="preserve"> Silva Neto,</w:t>
      </w:r>
      <w:r>
        <w:rPr>
          <w:rFonts w:eastAsia="Calibri"/>
        </w:rPr>
        <w:t xml:space="preserve"> </w:t>
      </w:r>
      <w:r w:rsidR="00C82AF8" w:rsidRPr="00403C5C">
        <w:rPr>
          <w:rFonts w:eastAsia="Calibri"/>
        </w:rPr>
        <w:t>Daniela de Rossi Figueiredo</w:t>
      </w:r>
      <w:r>
        <w:rPr>
          <w:rFonts w:eastAsia="Calibri"/>
          <w:vertAlign w:val="superscript"/>
        </w:rPr>
        <w:t xml:space="preserve"> </w:t>
      </w:r>
      <w:r w:rsidR="00000000" w:rsidRPr="00403C5C">
        <w:rPr>
          <w:rFonts w:eastAsia="Calibri"/>
        </w:rPr>
        <w:t>(Dra.)</w:t>
      </w:r>
    </w:p>
    <w:p w14:paraId="64BAD286" w14:textId="77777777" w:rsidR="00987CFF" w:rsidRPr="00403C5C" w:rsidRDefault="00987CFF" w:rsidP="00C82AF8">
      <w:pPr>
        <w:spacing w:line="39" w:lineRule="exact"/>
      </w:pPr>
    </w:p>
    <w:p w14:paraId="2BCCF33B" w14:textId="77777777" w:rsidR="00C82AF8" w:rsidRPr="00403C5C" w:rsidRDefault="00C82AF8" w:rsidP="00C82AF8">
      <w:pPr>
        <w:rPr>
          <w:rFonts w:eastAsia="Calibri"/>
          <w:b/>
          <w:bCs/>
        </w:rPr>
      </w:pPr>
    </w:p>
    <w:p w14:paraId="6E2B464E" w14:textId="777DAFC4" w:rsidR="00987CFF" w:rsidRPr="00403C5C" w:rsidRDefault="00000000" w:rsidP="00C82AF8">
      <w:r w:rsidRPr="00403C5C">
        <w:rPr>
          <w:rFonts w:eastAsia="Calibri"/>
          <w:b/>
          <w:bCs/>
        </w:rPr>
        <w:t>RESUMO</w:t>
      </w:r>
    </w:p>
    <w:p w14:paraId="71ABA33F" w14:textId="735E517C" w:rsidR="00987CFF" w:rsidRPr="00403C5C" w:rsidRDefault="00C82AF8" w:rsidP="00403C5C">
      <w:pPr>
        <w:jc w:val="both"/>
        <w:rPr>
          <w:color w:val="000000"/>
        </w:rPr>
      </w:pPr>
      <w:r w:rsidRPr="00403C5C">
        <w:rPr>
          <w:color w:val="000000"/>
        </w:rPr>
        <w:t>O desenvolvimento neuropsicomotor na primeira infância influencia diretamente a saúde e o bem-estar ao longo da vida.</w:t>
      </w:r>
      <w:r w:rsidRPr="00403C5C">
        <w:t xml:space="preserve"> </w:t>
      </w:r>
      <w:r w:rsidRPr="00403C5C">
        <w:rPr>
          <w:color w:val="000000"/>
        </w:rPr>
        <w:t xml:space="preserve">O objetivo foi </w:t>
      </w:r>
      <w:r w:rsidRPr="00403C5C">
        <w:rPr>
          <w:color w:val="000000"/>
        </w:rPr>
        <w:t>testar a validade</w:t>
      </w:r>
      <w:r w:rsidR="00361694">
        <w:rPr>
          <w:color w:val="000000"/>
        </w:rPr>
        <w:t xml:space="preserve">, segundo equivalência das respostas, </w:t>
      </w:r>
      <w:r w:rsidRPr="00403C5C">
        <w:rPr>
          <w:color w:val="000000"/>
        </w:rPr>
        <w:t xml:space="preserve">de kit educativo de avaliação do desenvolvimento neuropsicomotor, </w:t>
      </w:r>
      <w:r w:rsidR="00403C5C" w:rsidRPr="00403C5C">
        <w:rPr>
          <w:color w:val="000000"/>
        </w:rPr>
        <w:t xml:space="preserve">para </w:t>
      </w:r>
      <w:r w:rsidRPr="00403C5C">
        <w:rPr>
          <w:color w:val="000000"/>
        </w:rPr>
        <w:t xml:space="preserve">crianças de zero a dois anos na atenção primária à saúde do município da Palhoça-SC. </w:t>
      </w:r>
      <w:r w:rsidRPr="00403C5C">
        <w:rPr>
          <w:color w:val="000000"/>
        </w:rPr>
        <w:t>Foram incluídas</w:t>
      </w:r>
      <w:r w:rsidRPr="00403C5C">
        <w:rPr>
          <w:color w:val="000000"/>
        </w:rPr>
        <w:t xml:space="preserve"> crianças de zero a dois anos. </w:t>
      </w:r>
      <w:r w:rsidRPr="00403C5C">
        <w:rPr>
          <w:color w:val="000000"/>
        </w:rPr>
        <w:t xml:space="preserve">O </w:t>
      </w:r>
      <w:r w:rsidRPr="00403C5C">
        <w:rPr>
          <w:color w:val="000000"/>
        </w:rPr>
        <w:t xml:space="preserve">kit educativo </w:t>
      </w:r>
      <w:r w:rsidRPr="00403C5C">
        <w:rPr>
          <w:color w:val="000000"/>
        </w:rPr>
        <w:t xml:space="preserve">construído </w:t>
      </w:r>
      <w:r w:rsidRPr="00403C5C">
        <w:rPr>
          <w:color w:val="000000"/>
        </w:rPr>
        <w:t xml:space="preserve">segundo os marcos de desenvolvimento infantil </w:t>
      </w:r>
      <w:r w:rsidRPr="00403C5C">
        <w:rPr>
          <w:color w:val="000000"/>
        </w:rPr>
        <w:t>foi</w:t>
      </w:r>
      <w:r w:rsidRPr="00403C5C">
        <w:rPr>
          <w:color w:val="000000"/>
        </w:rPr>
        <w:t xml:space="preserve"> aplicado pelos profissionais de saúde da UBS durante consulta mensal rotineira de puericultura</w:t>
      </w:r>
      <w:r w:rsidR="00403C5C" w:rsidRPr="00403C5C">
        <w:rPr>
          <w:color w:val="000000"/>
        </w:rPr>
        <w:t xml:space="preserve"> ou mutirão. A</w:t>
      </w:r>
      <w:r w:rsidRPr="00403C5C">
        <w:rPr>
          <w:color w:val="000000"/>
        </w:rPr>
        <w:t>nálise de equivalência de cada item do kit</w:t>
      </w:r>
      <w:r w:rsidR="00403C5C" w:rsidRPr="00403C5C">
        <w:rPr>
          <w:color w:val="000000"/>
        </w:rPr>
        <w:t xml:space="preserve"> foi realizada</w:t>
      </w:r>
      <w:r w:rsidRPr="00403C5C">
        <w:rPr>
          <w:color w:val="000000"/>
        </w:rPr>
        <w:t>.</w:t>
      </w:r>
      <w:r w:rsidRPr="00403C5C">
        <w:rPr>
          <w:color w:val="000000"/>
        </w:rPr>
        <w:t xml:space="preserve"> Considerando as faixas etárias analisadas observou-se </w:t>
      </w:r>
      <w:r w:rsidR="00403C5C" w:rsidRPr="00403C5C">
        <w:rPr>
          <w:color w:val="000000"/>
        </w:rPr>
        <w:t>que a maioria dos brinquedos foram equivalentes em termos de validade, para as faixas etárias até 6 meses, a bolinha, tampa azul e boneco tiveram as piores equivalências. O kit educativo mostrou equivalente para uso segundo a avaliação dos profissionais de saúde das Unidades de saúde participantes.</w:t>
      </w:r>
    </w:p>
    <w:p w14:paraId="33B7F7BF" w14:textId="77777777" w:rsidR="00403C5C" w:rsidRPr="00403C5C" w:rsidRDefault="00403C5C" w:rsidP="00403C5C">
      <w:pPr>
        <w:jc w:val="both"/>
      </w:pPr>
    </w:p>
    <w:p w14:paraId="585FAB66" w14:textId="649DB4A4" w:rsidR="00987CFF" w:rsidRPr="00403C5C" w:rsidRDefault="00403C5C" w:rsidP="00C82AF8">
      <w:pPr>
        <w:spacing w:line="200" w:lineRule="exact"/>
      </w:pPr>
      <w:r w:rsidRPr="00403C5C">
        <w:rPr>
          <w:rFonts w:eastAsia="Calibri"/>
          <w:b/>
          <w:bCs/>
        </w:rPr>
        <w:t xml:space="preserve">Palavras-chave: </w:t>
      </w:r>
      <w:r w:rsidRPr="00403C5C">
        <w:rPr>
          <w:rFonts w:eastAsia="Calibri"/>
        </w:rPr>
        <w:t xml:space="preserve">Saúde da Criança; Desenvolvimento Infantil; Deficiências do </w:t>
      </w:r>
      <w:r w:rsidRPr="00403C5C">
        <w:rPr>
          <w:rFonts w:eastAsia="Calibri"/>
        </w:rPr>
        <w:t>D</w:t>
      </w:r>
      <w:r w:rsidRPr="00403C5C">
        <w:rPr>
          <w:rFonts w:eastAsia="Calibri"/>
        </w:rPr>
        <w:t>esenvolvimento.</w:t>
      </w:r>
      <w:r w:rsidRPr="00403C5C">
        <w:t xml:space="preserve"> </w:t>
      </w:r>
    </w:p>
    <w:p w14:paraId="693F4843" w14:textId="77777777" w:rsidR="00987CFF" w:rsidRPr="00403C5C" w:rsidRDefault="00987CFF" w:rsidP="00C82AF8">
      <w:pPr>
        <w:spacing w:line="359" w:lineRule="exact"/>
      </w:pPr>
    </w:p>
    <w:p w14:paraId="1E9A3BA3" w14:textId="6320D1E7" w:rsidR="00403C5C" w:rsidRPr="00403C5C" w:rsidRDefault="00403C5C" w:rsidP="005E7C4C">
      <w:pPr>
        <w:spacing w:line="200" w:lineRule="exact"/>
        <w:rPr>
          <w:rFonts w:eastAsia="Calibri"/>
          <w:b/>
          <w:bCs/>
        </w:rPr>
      </w:pPr>
      <w:r w:rsidRPr="00403C5C">
        <w:rPr>
          <w:rFonts w:eastAsia="Calibri"/>
          <w:b/>
          <w:bCs/>
        </w:rPr>
        <w:t>INTRODUÇÃO</w:t>
      </w:r>
    </w:p>
    <w:p w14:paraId="75ADC4BF" w14:textId="402D73AE" w:rsidR="00403C5C" w:rsidRPr="00403C5C" w:rsidRDefault="00403C5C" w:rsidP="00403C5C">
      <w:pPr>
        <w:jc w:val="both"/>
      </w:pPr>
      <w:r w:rsidRPr="00403C5C">
        <w:t>O d</w:t>
      </w:r>
      <w:r w:rsidRPr="00403C5C">
        <w:t>esenvolvimento infantil é o processo dinâmico de evolução dos aspectos motores, cognitivos, sociais e afetivos de um indivíduo (CIONI; SGANDURRA, 2013</w:t>
      </w:r>
      <w:r w:rsidR="0030253E">
        <w:t>)</w:t>
      </w:r>
      <w:r w:rsidRPr="00403C5C">
        <w:t>.</w:t>
      </w:r>
      <w:r w:rsidRPr="00403C5C">
        <w:t xml:space="preserve"> </w:t>
      </w:r>
      <w:r w:rsidRPr="00403C5C">
        <w:t xml:space="preserve">A vigilância dos marcos de desenvolvimento tem sido considerada importante ferramenta de processo flexível e contínuo, pelo qual profissionais realizam observações hábeis de crianças, durante a prestação de cuidados de saúde (YOUNG et al., 2020). Na </w:t>
      </w:r>
      <w:r w:rsidRPr="00403C5C">
        <w:t>literatura</w:t>
      </w:r>
      <w:r w:rsidRPr="00403C5C">
        <w:t xml:space="preserve"> observam-se instrumentos como testes, escalas ou inventários para avaliar o desenvolvimento de crianças, utilizados em pesquisas aplicadas, clínicas e estabelecimentos públicos e educacionais, subsidiando a estimulação precoce (BARROS et al., 2020). </w:t>
      </w:r>
    </w:p>
    <w:p w14:paraId="2E38A32A" w14:textId="73445D49" w:rsidR="00403C5C" w:rsidRPr="00403C5C" w:rsidRDefault="00403C5C" w:rsidP="00403C5C">
      <w:pPr>
        <w:jc w:val="both"/>
        <w:rPr>
          <w:rFonts w:eastAsia="Calibri"/>
          <w:b/>
          <w:bCs/>
        </w:rPr>
      </w:pPr>
      <w:r w:rsidRPr="00403C5C">
        <w:t>Além disso reconhece-se o desenvolvimento de ferramentas, como o kit de desenvolvimento pediátrico (paediatric developmental toolkit -PDT), que contém bolas, livros ilustrados, bonecos de ambos os sexos, blocos, copos plásticos, utensílios, entre outros, como estratégia da observação e da resiliência entre os profissionais de saúde, as famílias e crianças (YOUNG et. al., 2020).</w:t>
      </w:r>
      <w:r w:rsidRPr="00403C5C">
        <w:t xml:space="preserve"> </w:t>
      </w:r>
      <w:r w:rsidRPr="00403C5C">
        <w:t xml:space="preserve">Considerando a importância da identificação de atrasos e da promoção de intervenções oportunas para o desenvolvimento neuropsicomotor de crianças de 0 a 2 anos, as lacunas existentes no contexto brasileiro na utilização de tecnologias em saúde para estímulo no desenvolvimento das crianças nesta etapa, este estudo tem como pergunta de pesquisa: Kit educativo de avaliação do desenvolvimento neuropsicomotor para uso em crianças de 0 a 2 anos, aplicado por </w:t>
      </w:r>
      <w:r w:rsidRPr="00403C5C">
        <w:t>profissionais</w:t>
      </w:r>
      <w:r w:rsidRPr="00403C5C">
        <w:t xml:space="preserve"> da atenção primária à saúde, apresenta boa equivalência de validade?</w:t>
      </w:r>
    </w:p>
    <w:p w14:paraId="7FD38271" w14:textId="77777777" w:rsidR="00403C5C" w:rsidRPr="00403C5C" w:rsidRDefault="00403C5C" w:rsidP="00403C5C">
      <w:pPr>
        <w:rPr>
          <w:rFonts w:eastAsia="Calibri"/>
          <w:b/>
          <w:bCs/>
        </w:rPr>
      </w:pPr>
    </w:p>
    <w:p w14:paraId="73C76C54" w14:textId="18F5AD82" w:rsidR="00987CFF" w:rsidRPr="00403C5C" w:rsidRDefault="00000000" w:rsidP="005E7C4C">
      <w:pPr>
        <w:spacing w:line="200" w:lineRule="exact"/>
      </w:pPr>
      <w:r w:rsidRPr="00403C5C">
        <w:rPr>
          <w:rFonts w:eastAsia="Calibri"/>
          <w:b/>
          <w:bCs/>
        </w:rPr>
        <w:t>MÉTODO</w:t>
      </w:r>
    </w:p>
    <w:p w14:paraId="4493BB44" w14:textId="77777777" w:rsidR="00987CFF" w:rsidRPr="00403C5C" w:rsidRDefault="00987CFF" w:rsidP="00C82AF8">
      <w:pPr>
        <w:spacing w:line="53" w:lineRule="exact"/>
      </w:pPr>
    </w:p>
    <w:p w14:paraId="0D5EB3F3" w14:textId="77777777" w:rsidR="00D03B27" w:rsidRPr="00403C5C" w:rsidRDefault="00D03B27" w:rsidP="00403C5C">
      <w:pPr>
        <w:jc w:val="both"/>
      </w:pPr>
      <w:r w:rsidRPr="00403C5C">
        <w:t xml:space="preserve">Trata-se de um estudo de caráter metodológico. O estudo </w:t>
      </w:r>
      <w:r w:rsidRPr="00403C5C">
        <w:t xml:space="preserve">foi </w:t>
      </w:r>
      <w:r w:rsidRPr="00403C5C">
        <w:t>realizado nas Unidades Básicas de Saúde (UBS),</w:t>
      </w:r>
      <w:r w:rsidRPr="00403C5C">
        <w:t xml:space="preserve"> Madri, Frei Damião e Bela Vista,</w:t>
      </w:r>
      <w:r w:rsidRPr="00403C5C">
        <w:t xml:space="preserve"> município da Palhoça-SC. A população </w:t>
      </w:r>
      <w:r w:rsidRPr="00403C5C">
        <w:t xml:space="preserve">foi </w:t>
      </w:r>
      <w:r w:rsidRPr="00403C5C">
        <w:t>composta por crianças de zero a dois anos de idade que utilizam o atendimento da equipe de saúde</w:t>
      </w:r>
      <w:r w:rsidRPr="00403C5C">
        <w:t>, durante puericultura ou atividades de mutirão.</w:t>
      </w:r>
      <w:r w:rsidRPr="00403C5C">
        <w:t xml:space="preserve"> Amostra </w:t>
      </w:r>
      <w:r w:rsidRPr="00403C5C">
        <w:t xml:space="preserve">foi </w:t>
      </w:r>
      <w:r w:rsidRPr="00403C5C">
        <w:t>não probabilística intencional</w:t>
      </w:r>
      <w:r w:rsidRPr="00403C5C">
        <w:t xml:space="preserve">. </w:t>
      </w:r>
      <w:r w:rsidRPr="00403C5C">
        <w:t>Os 4 marcos de desenvolvimento infantil de 0 a 2 anos: motor, cognitivo, social e afetivo (BRASIL, 2015), serão utilizados para a construção do kit educativo.</w:t>
      </w:r>
    </w:p>
    <w:p w14:paraId="5C87344B" w14:textId="77777777" w:rsidR="00C555C8" w:rsidRPr="00403C5C" w:rsidRDefault="00D03B27" w:rsidP="00403C5C">
      <w:pPr>
        <w:jc w:val="both"/>
      </w:pPr>
      <w:r w:rsidRPr="00403C5C">
        <w:lastRenderedPageBreak/>
        <w:t xml:space="preserve">O kit educativo </w:t>
      </w:r>
      <w:r w:rsidRPr="00403C5C">
        <w:t>composto por um</w:t>
      </w:r>
      <w:r w:rsidRPr="00403C5C">
        <w:t xml:space="preserve"> conjunto de brinquedos simples, </w:t>
      </w:r>
      <w:r w:rsidRPr="00403C5C">
        <w:t xml:space="preserve">como </w:t>
      </w:r>
      <w:r w:rsidRPr="00403C5C">
        <w:t>rolinhos coloridos</w:t>
      </w:r>
      <w:r w:rsidRPr="00403C5C">
        <w:t>,</w:t>
      </w:r>
      <w:r w:rsidRPr="00403C5C">
        <w:t xml:space="preserve"> chocalho de garrafa Pet</w:t>
      </w:r>
      <w:r w:rsidRPr="00403C5C">
        <w:t xml:space="preserve">, </w:t>
      </w:r>
      <w:r w:rsidRPr="00403C5C">
        <w:t>mola</w:t>
      </w:r>
      <w:r w:rsidRPr="00403C5C">
        <w:t xml:space="preserve"> de plástico</w:t>
      </w:r>
      <w:r w:rsidRPr="00403C5C">
        <w:t>; um boneco; uma bolinha; a tampa azul; potes coloridos; folha com 5 figuras estimulará a criança a apontar pelo menos 2 figuras e uma bola de futebol.</w:t>
      </w:r>
      <w:r w:rsidR="00C555C8" w:rsidRPr="00403C5C">
        <w:t xml:space="preserve"> </w:t>
      </w:r>
    </w:p>
    <w:p w14:paraId="76D6FE9D" w14:textId="5C3B2700" w:rsidR="00D03B27" w:rsidRPr="00403C5C" w:rsidRDefault="00C555C8" w:rsidP="00403C5C">
      <w:pPr>
        <w:jc w:val="both"/>
      </w:pPr>
      <w:r w:rsidRPr="00403C5C">
        <w:t xml:space="preserve">O kit educativo </w:t>
      </w:r>
      <w:r w:rsidRPr="00403C5C">
        <w:t xml:space="preserve">foi avaliado </w:t>
      </w:r>
      <w:r w:rsidRPr="00403C5C">
        <w:t>pelos profissionais de saúde da</w:t>
      </w:r>
      <w:r w:rsidRPr="00403C5C">
        <w:t>s</w:t>
      </w:r>
      <w:r w:rsidRPr="00403C5C">
        <w:t xml:space="preserve"> UBS</w:t>
      </w:r>
      <w:r w:rsidRPr="00403C5C">
        <w:t>s</w:t>
      </w:r>
      <w:r w:rsidRPr="00403C5C">
        <w:t xml:space="preserve"> (Médicos ou Enfermeiros), durante consultas mensais rotineiras de puericultura, de crianças de 0 a 2 anos de idade, acompanhadas dos </w:t>
      </w:r>
      <w:r w:rsidR="00361694" w:rsidRPr="00403C5C">
        <w:rPr>
          <w:noProof/>
        </w:rPr>
        <w:drawing>
          <wp:anchor distT="0" distB="0" distL="114300" distR="114300" simplePos="0" relativeHeight="251666944" behindDoc="1" locked="0" layoutInCell="0" allowOverlap="1" wp14:anchorId="240CE53B" wp14:editId="56FA6891">
            <wp:simplePos x="0" y="0"/>
            <wp:positionH relativeFrom="page">
              <wp:posOffset>5871210</wp:posOffset>
            </wp:positionH>
            <wp:positionV relativeFrom="page">
              <wp:posOffset>220980</wp:posOffset>
            </wp:positionV>
            <wp:extent cx="868680" cy="647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C5C">
        <w:t>pais/responsáveis. Considerando as diversas faixas etárias (entre 0 a 2 anos), os profissionais f</w:t>
      </w:r>
      <w:r w:rsidRPr="00403C5C">
        <w:t>izeram</w:t>
      </w:r>
      <w:r w:rsidRPr="00403C5C">
        <w:t xml:space="preserve"> uma avaliação descritiva cada item do kit, após sua utilização, analisando segundo 1 = item equivalente, 2= item parcialmente equivalente e por quê, 3= item não equivalente</w:t>
      </w:r>
      <w:r w:rsidRPr="00403C5C">
        <w:t>.</w:t>
      </w:r>
      <w:r w:rsidR="005E7C4C" w:rsidRPr="00403C5C">
        <w:t xml:space="preserve"> Foram comparadas as equivalências</w:t>
      </w:r>
      <w:r w:rsidR="00525DC5" w:rsidRPr="00403C5C">
        <w:t xml:space="preserve"> de cada profissional de saúde e e</w:t>
      </w:r>
      <w:r w:rsidR="005E7C4C" w:rsidRPr="00403C5C">
        <w:t xml:space="preserve">ntre </w:t>
      </w:r>
      <w:r w:rsidR="00525DC5" w:rsidRPr="00403C5C">
        <w:t>os profissionais</w:t>
      </w:r>
      <w:r w:rsidR="005E7C4C" w:rsidRPr="00403C5C">
        <w:t xml:space="preserve">, 100% </w:t>
      </w:r>
      <w:r w:rsidR="00525DC5" w:rsidRPr="00403C5C">
        <w:t xml:space="preserve">foi atribuído </w:t>
      </w:r>
      <w:r w:rsidR="005E7C4C" w:rsidRPr="00403C5C">
        <w:t>quando ambos tinham equivalente</w:t>
      </w:r>
      <w:r w:rsidR="00525DC5" w:rsidRPr="00403C5C">
        <w:t xml:space="preserve"> para a avaliação de todas as crianças</w:t>
      </w:r>
      <w:r w:rsidR="005E7C4C" w:rsidRPr="00403C5C">
        <w:t xml:space="preserve">, 50 %,um dos profissionais não equivalente </w:t>
      </w:r>
      <w:r w:rsidR="0023432B" w:rsidRPr="00403C5C">
        <w:t xml:space="preserve">e equivalente </w:t>
      </w:r>
      <w:r w:rsidR="005E7C4C" w:rsidRPr="00403C5C">
        <w:t>e 25% quando não equivalente e parcialmente.</w:t>
      </w:r>
    </w:p>
    <w:p w14:paraId="42A9B98C" w14:textId="77777777" w:rsidR="00403C5C" w:rsidRDefault="00403C5C" w:rsidP="005E7C4C">
      <w:pPr>
        <w:rPr>
          <w:rFonts w:eastAsia="Calibri"/>
          <w:b/>
          <w:bCs/>
        </w:rPr>
      </w:pPr>
    </w:p>
    <w:p w14:paraId="6081B109" w14:textId="66F43BDF" w:rsidR="005E7C4C" w:rsidRPr="00403C5C" w:rsidRDefault="00000000" w:rsidP="005E7C4C">
      <w:pPr>
        <w:rPr>
          <w:rFonts w:eastAsia="Calibri"/>
          <w:b/>
          <w:bCs/>
        </w:rPr>
      </w:pPr>
      <w:r w:rsidRPr="00403C5C">
        <w:rPr>
          <w:rFonts w:eastAsia="Calibri"/>
          <w:b/>
          <w:bCs/>
        </w:rPr>
        <w:t>RESULTADOS E DISCUSSÕES</w:t>
      </w:r>
    </w:p>
    <w:p w14:paraId="2FBE6104" w14:textId="64540762" w:rsidR="00C555C8" w:rsidRPr="00403C5C" w:rsidRDefault="00D03B27" w:rsidP="00ED02BF">
      <w:pPr>
        <w:jc w:val="both"/>
      </w:pPr>
      <w:r w:rsidRPr="00403C5C">
        <w:t xml:space="preserve">A amostra </w:t>
      </w:r>
      <w:r w:rsidRPr="00403C5C">
        <w:t xml:space="preserve">constou de </w:t>
      </w:r>
      <w:r w:rsidR="005E7C4C" w:rsidRPr="00403C5C">
        <w:t xml:space="preserve"> </w:t>
      </w:r>
      <w:r w:rsidR="00ED02BF" w:rsidRPr="00403C5C">
        <w:t>24</w:t>
      </w:r>
      <w:r w:rsidRPr="00403C5C">
        <w:t xml:space="preserve"> crianças nas faixas etárias de 2 a 4, 4 a 6, 6-9, 9-12, 12-15</w:t>
      </w:r>
      <w:r w:rsidR="00ED02BF" w:rsidRPr="00403C5C">
        <w:t xml:space="preserve"> meses. No período analisado, não houve crianças na faixa de 15-18 meses. Dentre as de</w:t>
      </w:r>
      <w:r w:rsidRPr="00403C5C">
        <w:t>18-24 meses</w:t>
      </w:r>
      <w:r w:rsidR="00ED02BF" w:rsidRPr="00403C5C">
        <w:t xml:space="preserve">, apenas a </w:t>
      </w:r>
      <w:r w:rsidRPr="00403C5C">
        <w:t xml:space="preserve"> UBS </w:t>
      </w:r>
      <w:r w:rsidR="00ED02BF" w:rsidRPr="00403C5C">
        <w:t>Madri realizou avaliação perfazendo 100% de equivalência para os brinquedos, p</w:t>
      </w:r>
      <w:r w:rsidR="00ED02BF" w:rsidRPr="00403C5C">
        <w:t>otes coloridos</w:t>
      </w:r>
      <w:r w:rsidR="00ED02BF" w:rsidRPr="00403C5C">
        <w:t>, f</w:t>
      </w:r>
      <w:r w:rsidR="00ED02BF" w:rsidRPr="00403C5C">
        <w:t>olha com 5 figuras</w:t>
      </w:r>
      <w:r w:rsidR="00ED02BF" w:rsidRPr="00403C5C">
        <w:t xml:space="preserve"> e b</w:t>
      </w:r>
      <w:r w:rsidR="00ED02BF" w:rsidRPr="00403C5C">
        <w:t>ola de futebol</w:t>
      </w:r>
      <w:r w:rsidR="00ED02BF" w:rsidRPr="00403C5C">
        <w:t>. Dentre as faixas etárias os brinquedos mostraram-se equivalentes em sua maioria. (Quadros 1,2 3, 4 e 5)</w:t>
      </w:r>
    </w:p>
    <w:p w14:paraId="6D7BD268" w14:textId="77777777" w:rsidR="00ED02BF" w:rsidRPr="00403C5C" w:rsidRDefault="00ED02BF" w:rsidP="00ED02BF">
      <w:pPr>
        <w:jc w:val="both"/>
      </w:pPr>
    </w:p>
    <w:p w14:paraId="34E08428" w14:textId="2E8C5B83" w:rsidR="00987CFF" w:rsidRPr="00403C5C" w:rsidRDefault="00C555C8" w:rsidP="00C82AF8">
      <w:pPr>
        <w:spacing w:line="200" w:lineRule="exact"/>
      </w:pPr>
      <w:r w:rsidRPr="00403C5C">
        <w:t>Quadro1. Avaliação dos brinquedos correspondentes à faixa etária de  2 a 4 meses, segundo avaliação dos profissionais (n=</w:t>
      </w:r>
      <w:r w:rsidR="00525DC5" w:rsidRPr="00403C5C">
        <w:t>3</w:t>
      </w:r>
      <w:r w:rsidRPr="00403C5C">
        <w:t xml:space="preserve">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0"/>
        <w:gridCol w:w="1720"/>
        <w:gridCol w:w="1989"/>
        <w:gridCol w:w="1843"/>
      </w:tblGrid>
      <w:tr w:rsidR="00C555C8" w:rsidRPr="00403C5C" w14:paraId="1ADDA227" w14:textId="77777777" w:rsidTr="00C555C8">
        <w:trPr>
          <w:trHeight w:val="315"/>
        </w:trPr>
        <w:tc>
          <w:tcPr>
            <w:tcW w:w="2920" w:type="dxa"/>
            <w:noWrap/>
            <w:hideMark/>
          </w:tcPr>
          <w:p w14:paraId="6B6AC8D7" w14:textId="4F687252" w:rsidR="00C555C8" w:rsidRPr="00403C5C" w:rsidRDefault="00C555C8" w:rsidP="00525DC5">
            <w:r w:rsidRPr="00403C5C">
              <w:t>Brinquedo</w:t>
            </w:r>
          </w:p>
        </w:tc>
        <w:tc>
          <w:tcPr>
            <w:tcW w:w="1720" w:type="dxa"/>
            <w:noWrap/>
            <w:hideMark/>
          </w:tcPr>
          <w:p w14:paraId="7AA7E181" w14:textId="599F852F" w:rsidR="00C555C8" w:rsidRPr="00403C5C" w:rsidRDefault="00C555C8" w:rsidP="00525DC5">
            <w:r w:rsidRPr="00403C5C">
              <w:t>Médico</w:t>
            </w:r>
            <w:r w:rsidRPr="00403C5C">
              <w:t xml:space="preserve"> UBS</w:t>
            </w:r>
            <w:r w:rsidRPr="00403C5C">
              <w:t xml:space="preserve"> Bela Vista</w:t>
            </w:r>
            <w:r w:rsidR="00525DC5" w:rsidRPr="00403C5C">
              <w:t>*</w:t>
            </w:r>
          </w:p>
        </w:tc>
        <w:tc>
          <w:tcPr>
            <w:tcW w:w="1989" w:type="dxa"/>
            <w:noWrap/>
            <w:hideMark/>
          </w:tcPr>
          <w:p w14:paraId="15830661" w14:textId="57C538AF" w:rsidR="00C555C8" w:rsidRPr="00403C5C" w:rsidRDefault="00C555C8" w:rsidP="00525DC5">
            <w:r w:rsidRPr="00403C5C">
              <w:t xml:space="preserve">Enfermeiro </w:t>
            </w:r>
            <w:r w:rsidRPr="00403C5C">
              <w:t xml:space="preserve">UBS </w:t>
            </w:r>
            <w:r w:rsidRPr="00403C5C">
              <w:t>Frei</w:t>
            </w:r>
            <w:r w:rsidRPr="00403C5C">
              <w:t xml:space="preserve"> Damião</w:t>
            </w:r>
            <w:r w:rsidR="00525DC5" w:rsidRPr="00403C5C">
              <w:t>*</w:t>
            </w:r>
          </w:p>
        </w:tc>
        <w:tc>
          <w:tcPr>
            <w:tcW w:w="1843" w:type="dxa"/>
            <w:noWrap/>
            <w:hideMark/>
          </w:tcPr>
          <w:p w14:paraId="5E987C19" w14:textId="77777777" w:rsidR="00C555C8" w:rsidRPr="00403C5C" w:rsidRDefault="00C555C8" w:rsidP="00525DC5">
            <w:r w:rsidRPr="00403C5C">
              <w:t>% de equivalência</w:t>
            </w:r>
          </w:p>
        </w:tc>
      </w:tr>
      <w:tr w:rsidR="00C555C8" w:rsidRPr="00403C5C" w14:paraId="0F4B47F4" w14:textId="77777777" w:rsidTr="00C555C8">
        <w:trPr>
          <w:trHeight w:val="315"/>
        </w:trPr>
        <w:tc>
          <w:tcPr>
            <w:tcW w:w="2920" w:type="dxa"/>
            <w:noWrap/>
            <w:hideMark/>
          </w:tcPr>
          <w:p w14:paraId="43A26831" w14:textId="77777777" w:rsidR="00C555C8" w:rsidRPr="00403C5C" w:rsidRDefault="00C555C8" w:rsidP="00525DC5">
            <w:r w:rsidRPr="00403C5C">
              <w:t xml:space="preserve">Rolinhos coloridos  </w:t>
            </w:r>
          </w:p>
        </w:tc>
        <w:tc>
          <w:tcPr>
            <w:tcW w:w="1720" w:type="dxa"/>
            <w:noWrap/>
            <w:hideMark/>
          </w:tcPr>
          <w:p w14:paraId="4883F837" w14:textId="77777777" w:rsidR="00C555C8" w:rsidRPr="00403C5C" w:rsidRDefault="00C555C8" w:rsidP="00525DC5">
            <w:r w:rsidRPr="00403C5C">
              <w:t xml:space="preserve">equivalente </w:t>
            </w:r>
          </w:p>
        </w:tc>
        <w:tc>
          <w:tcPr>
            <w:tcW w:w="1989" w:type="dxa"/>
            <w:noWrap/>
            <w:hideMark/>
          </w:tcPr>
          <w:p w14:paraId="09D63CB6" w14:textId="77777777" w:rsidR="00C555C8" w:rsidRPr="00403C5C" w:rsidRDefault="00C555C8" w:rsidP="00525DC5">
            <w:r w:rsidRPr="00403C5C">
              <w:t xml:space="preserve">Não equivalente </w:t>
            </w:r>
          </w:p>
        </w:tc>
        <w:tc>
          <w:tcPr>
            <w:tcW w:w="1843" w:type="dxa"/>
            <w:noWrap/>
            <w:hideMark/>
          </w:tcPr>
          <w:p w14:paraId="7AE3C6B7" w14:textId="77777777" w:rsidR="00C555C8" w:rsidRPr="00403C5C" w:rsidRDefault="00C555C8" w:rsidP="00525DC5">
            <w:pPr>
              <w:jc w:val="right"/>
            </w:pPr>
            <w:r w:rsidRPr="00403C5C">
              <w:t>50%</w:t>
            </w:r>
          </w:p>
        </w:tc>
      </w:tr>
      <w:tr w:rsidR="00C555C8" w:rsidRPr="00403C5C" w14:paraId="416CEDC7" w14:textId="77777777" w:rsidTr="00C555C8">
        <w:trPr>
          <w:trHeight w:val="315"/>
        </w:trPr>
        <w:tc>
          <w:tcPr>
            <w:tcW w:w="2920" w:type="dxa"/>
            <w:noWrap/>
            <w:hideMark/>
          </w:tcPr>
          <w:p w14:paraId="56141DA7" w14:textId="77777777" w:rsidR="00C555C8" w:rsidRPr="00403C5C" w:rsidRDefault="00C555C8" w:rsidP="00525DC5">
            <w:r w:rsidRPr="00403C5C">
              <w:t xml:space="preserve">Chocalho de garrafa pet </w:t>
            </w:r>
          </w:p>
        </w:tc>
        <w:tc>
          <w:tcPr>
            <w:tcW w:w="1720" w:type="dxa"/>
            <w:noWrap/>
            <w:hideMark/>
          </w:tcPr>
          <w:p w14:paraId="5CC26A7B" w14:textId="77777777" w:rsidR="00C555C8" w:rsidRPr="00403C5C" w:rsidRDefault="00C555C8" w:rsidP="00525DC5">
            <w:r w:rsidRPr="00403C5C">
              <w:t xml:space="preserve">equivalente </w:t>
            </w:r>
          </w:p>
        </w:tc>
        <w:tc>
          <w:tcPr>
            <w:tcW w:w="1989" w:type="dxa"/>
            <w:noWrap/>
            <w:hideMark/>
          </w:tcPr>
          <w:p w14:paraId="297BD038" w14:textId="77777777" w:rsidR="00C555C8" w:rsidRPr="00403C5C" w:rsidRDefault="00C555C8" w:rsidP="00525DC5">
            <w:r w:rsidRPr="00403C5C">
              <w:t xml:space="preserve">equivalente </w:t>
            </w:r>
          </w:p>
        </w:tc>
        <w:tc>
          <w:tcPr>
            <w:tcW w:w="1843" w:type="dxa"/>
            <w:noWrap/>
            <w:hideMark/>
          </w:tcPr>
          <w:p w14:paraId="0DEFBE87" w14:textId="77777777" w:rsidR="00C555C8" w:rsidRPr="00403C5C" w:rsidRDefault="00C555C8" w:rsidP="00525DC5">
            <w:pPr>
              <w:jc w:val="right"/>
            </w:pPr>
            <w:r w:rsidRPr="00403C5C">
              <w:t>100%</w:t>
            </w:r>
          </w:p>
        </w:tc>
      </w:tr>
      <w:tr w:rsidR="00C555C8" w:rsidRPr="00403C5C" w14:paraId="763E7A8D" w14:textId="77777777" w:rsidTr="00C555C8">
        <w:trPr>
          <w:trHeight w:val="315"/>
        </w:trPr>
        <w:tc>
          <w:tcPr>
            <w:tcW w:w="2920" w:type="dxa"/>
            <w:noWrap/>
            <w:hideMark/>
          </w:tcPr>
          <w:p w14:paraId="0AEAAFA2" w14:textId="77777777" w:rsidR="00C555C8" w:rsidRPr="00403C5C" w:rsidRDefault="00C555C8" w:rsidP="00525DC5">
            <w:r w:rsidRPr="00403C5C">
              <w:t xml:space="preserve">Boneco  </w:t>
            </w:r>
          </w:p>
        </w:tc>
        <w:tc>
          <w:tcPr>
            <w:tcW w:w="1720" w:type="dxa"/>
            <w:noWrap/>
            <w:hideMark/>
          </w:tcPr>
          <w:p w14:paraId="68608023" w14:textId="77777777" w:rsidR="00C555C8" w:rsidRPr="00403C5C" w:rsidRDefault="00C555C8" w:rsidP="00525DC5">
            <w:r w:rsidRPr="00403C5C">
              <w:t xml:space="preserve">equivalente </w:t>
            </w:r>
          </w:p>
        </w:tc>
        <w:tc>
          <w:tcPr>
            <w:tcW w:w="1989" w:type="dxa"/>
            <w:noWrap/>
            <w:hideMark/>
          </w:tcPr>
          <w:p w14:paraId="5920B7F3" w14:textId="77777777" w:rsidR="00C555C8" w:rsidRPr="00403C5C" w:rsidRDefault="00C555C8" w:rsidP="00525DC5">
            <w:r w:rsidRPr="00403C5C">
              <w:t xml:space="preserve">equivalente </w:t>
            </w:r>
          </w:p>
        </w:tc>
        <w:tc>
          <w:tcPr>
            <w:tcW w:w="1843" w:type="dxa"/>
            <w:noWrap/>
            <w:hideMark/>
          </w:tcPr>
          <w:p w14:paraId="573DBB12" w14:textId="77777777" w:rsidR="00C555C8" w:rsidRPr="00403C5C" w:rsidRDefault="00C555C8" w:rsidP="00525DC5">
            <w:pPr>
              <w:jc w:val="right"/>
            </w:pPr>
            <w:r w:rsidRPr="00403C5C">
              <w:t>100%</w:t>
            </w:r>
          </w:p>
        </w:tc>
      </w:tr>
      <w:tr w:rsidR="00C555C8" w:rsidRPr="00403C5C" w14:paraId="1BA4F10B" w14:textId="77777777" w:rsidTr="00C555C8">
        <w:trPr>
          <w:trHeight w:val="315"/>
        </w:trPr>
        <w:tc>
          <w:tcPr>
            <w:tcW w:w="2920" w:type="dxa"/>
            <w:noWrap/>
            <w:hideMark/>
          </w:tcPr>
          <w:p w14:paraId="55F06B55" w14:textId="77777777" w:rsidR="00C555C8" w:rsidRPr="00403C5C" w:rsidRDefault="00C555C8" w:rsidP="00525DC5">
            <w:r w:rsidRPr="00403C5C">
              <w:t xml:space="preserve">Bolinha </w:t>
            </w:r>
          </w:p>
        </w:tc>
        <w:tc>
          <w:tcPr>
            <w:tcW w:w="1720" w:type="dxa"/>
            <w:noWrap/>
            <w:hideMark/>
          </w:tcPr>
          <w:p w14:paraId="03527C51" w14:textId="77777777" w:rsidR="00C555C8" w:rsidRPr="00403C5C" w:rsidRDefault="00C555C8" w:rsidP="00525DC5">
            <w:r w:rsidRPr="00403C5C">
              <w:t xml:space="preserve">Não equivalente </w:t>
            </w:r>
          </w:p>
        </w:tc>
        <w:tc>
          <w:tcPr>
            <w:tcW w:w="1989" w:type="dxa"/>
            <w:noWrap/>
            <w:hideMark/>
          </w:tcPr>
          <w:p w14:paraId="0E77DA23" w14:textId="77777777" w:rsidR="00C555C8" w:rsidRPr="00403C5C" w:rsidRDefault="00C555C8" w:rsidP="00525DC5">
            <w:r w:rsidRPr="00403C5C">
              <w:t xml:space="preserve">Não equivalente </w:t>
            </w:r>
          </w:p>
        </w:tc>
        <w:tc>
          <w:tcPr>
            <w:tcW w:w="1843" w:type="dxa"/>
            <w:noWrap/>
            <w:hideMark/>
          </w:tcPr>
          <w:p w14:paraId="26F838BA" w14:textId="77777777" w:rsidR="00C555C8" w:rsidRPr="00403C5C" w:rsidRDefault="00C555C8" w:rsidP="00525DC5">
            <w:pPr>
              <w:jc w:val="right"/>
            </w:pPr>
            <w:r w:rsidRPr="00403C5C">
              <w:t>0%</w:t>
            </w:r>
          </w:p>
        </w:tc>
      </w:tr>
    </w:tbl>
    <w:p w14:paraId="4178A4A9" w14:textId="5001064A" w:rsidR="00987CFF" w:rsidRPr="00403C5C" w:rsidRDefault="00987CFF" w:rsidP="00C82AF8">
      <w:pPr>
        <w:spacing w:line="20" w:lineRule="exact"/>
      </w:pPr>
    </w:p>
    <w:p w14:paraId="29D5A560" w14:textId="3F7B4C54" w:rsidR="00525DC5" w:rsidRPr="00403C5C" w:rsidRDefault="00525DC5" w:rsidP="005E7C4C">
      <w:pPr>
        <w:spacing w:line="200" w:lineRule="exact"/>
      </w:pPr>
      <w:r w:rsidRPr="00403C5C">
        <w:t>*Escore final da avaliação de todas as crianças</w:t>
      </w:r>
    </w:p>
    <w:p w14:paraId="3E4D8886" w14:textId="77777777" w:rsidR="00525DC5" w:rsidRPr="00403C5C" w:rsidRDefault="00525DC5" w:rsidP="005E7C4C">
      <w:pPr>
        <w:spacing w:line="200" w:lineRule="exact"/>
      </w:pPr>
    </w:p>
    <w:p w14:paraId="55505498" w14:textId="4C31B410" w:rsidR="00987CFF" w:rsidRPr="00403C5C" w:rsidRDefault="00C555C8" w:rsidP="005E7C4C">
      <w:pPr>
        <w:spacing w:line="200" w:lineRule="exact"/>
      </w:pPr>
      <w:r w:rsidRPr="00403C5C">
        <w:t>Quadro</w:t>
      </w:r>
      <w:r w:rsidRPr="00403C5C">
        <w:t xml:space="preserve"> 2</w:t>
      </w:r>
      <w:r w:rsidRPr="00403C5C">
        <w:t xml:space="preserve">. Avaliação dos brinquedos correspondentes à faixa etária de  </w:t>
      </w:r>
      <w:r w:rsidRPr="00403C5C">
        <w:t>4</w:t>
      </w:r>
      <w:r w:rsidRPr="00403C5C">
        <w:t xml:space="preserve"> a </w:t>
      </w:r>
      <w:r w:rsidRPr="00403C5C">
        <w:t>6</w:t>
      </w:r>
      <w:r w:rsidRPr="00403C5C">
        <w:t xml:space="preserve"> meses, segundo avaliação dos profissionais (n=</w:t>
      </w:r>
      <w:r w:rsidR="00525DC5" w:rsidRPr="00403C5C">
        <w:t>5</w:t>
      </w:r>
      <w:r w:rsidRPr="00403C5C">
        <w:t xml:space="preserve">). </w:t>
      </w:r>
    </w:p>
    <w:tbl>
      <w:tblPr>
        <w:tblW w:w="83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1671"/>
        <w:gridCol w:w="1760"/>
        <w:gridCol w:w="1793"/>
      </w:tblGrid>
      <w:tr w:rsidR="00C555C8" w:rsidRPr="00C555C8" w14:paraId="1146FFBE" w14:textId="77777777" w:rsidTr="00DA1677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78A46CCF" w14:textId="35254E3F" w:rsidR="00C555C8" w:rsidRPr="00C555C8" w:rsidRDefault="00C555C8" w:rsidP="00C555C8">
            <w:pPr>
              <w:rPr>
                <w:rFonts w:eastAsia="Times New Roman"/>
              </w:rPr>
            </w:pPr>
            <w:r w:rsidRPr="00403C5C">
              <w:t>Brinquedo</w:t>
            </w:r>
          </w:p>
        </w:tc>
        <w:tc>
          <w:tcPr>
            <w:tcW w:w="1671" w:type="dxa"/>
            <w:shd w:val="clear" w:color="auto" w:fill="auto"/>
            <w:noWrap/>
            <w:hideMark/>
          </w:tcPr>
          <w:p w14:paraId="56EF2A3F" w14:textId="782C0F93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403C5C">
              <w:t>Médico UBS Bela Vista</w:t>
            </w:r>
            <w:r w:rsidR="00525DC5" w:rsidRPr="00403C5C">
              <w:t>*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3034A634" w14:textId="4D5E6B2B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403C5C">
              <w:t>Enfermeiro UBS Frei Damião</w:t>
            </w:r>
            <w:r w:rsidR="00525DC5" w:rsidRPr="00403C5C">
              <w:t>*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ED8E145" w14:textId="1175F609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403C5C">
              <w:t>% de equivalência</w:t>
            </w:r>
          </w:p>
        </w:tc>
      </w:tr>
      <w:tr w:rsidR="00C555C8" w:rsidRPr="00C555C8" w14:paraId="641F9FE3" w14:textId="77777777" w:rsidTr="00C555C8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6BCDD03F" w14:textId="5BD6A4DC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 xml:space="preserve">Chocalho de garrafa pet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51BAF1E1" w14:textId="3998F3EA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BDE1B49" w14:textId="11851152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62C96B20" w14:textId="77777777" w:rsidR="00C555C8" w:rsidRPr="00C555C8" w:rsidRDefault="00C555C8" w:rsidP="00C555C8">
            <w:pPr>
              <w:jc w:val="right"/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100%</w:t>
            </w:r>
          </w:p>
        </w:tc>
      </w:tr>
      <w:tr w:rsidR="00C555C8" w:rsidRPr="00C555C8" w14:paraId="75E6A2ED" w14:textId="77777777" w:rsidTr="00C555C8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2C45AB92" w14:textId="547F82C2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 xml:space="preserve">Boneco 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07D3CD4B" w14:textId="3BD22B8E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3777423" w14:textId="38F64012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78AF3DE6" w14:textId="77777777" w:rsidR="00C555C8" w:rsidRPr="00C555C8" w:rsidRDefault="00C555C8" w:rsidP="00C555C8">
            <w:pPr>
              <w:jc w:val="right"/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50%</w:t>
            </w:r>
          </w:p>
        </w:tc>
      </w:tr>
      <w:tr w:rsidR="00C555C8" w:rsidRPr="00C555C8" w14:paraId="1EAB2519" w14:textId="77777777" w:rsidTr="00C555C8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2C056066" w14:textId="3AC82977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 xml:space="preserve">Bolinha 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654FFE19" w14:textId="08DDAE5F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D3E524" w14:textId="5A04BEBD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040A6AAD" w14:textId="77777777" w:rsidR="00C555C8" w:rsidRPr="00C555C8" w:rsidRDefault="00C555C8" w:rsidP="00C555C8">
            <w:pPr>
              <w:jc w:val="right"/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25%</w:t>
            </w:r>
          </w:p>
        </w:tc>
      </w:tr>
      <w:tr w:rsidR="00C555C8" w:rsidRPr="00C555C8" w14:paraId="4D343B41" w14:textId="77777777" w:rsidTr="00C555C8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26BAF70A" w14:textId="0440CEE2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 xml:space="preserve">Caixinha de forma geométrica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6DA414FE" w14:textId="3B772670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AC656B9" w14:textId="03164E74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35F9DA30" w14:textId="77777777" w:rsidR="00C555C8" w:rsidRPr="00C555C8" w:rsidRDefault="00C555C8" w:rsidP="00C555C8">
            <w:pPr>
              <w:jc w:val="right"/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100%</w:t>
            </w:r>
          </w:p>
        </w:tc>
      </w:tr>
      <w:tr w:rsidR="00C555C8" w:rsidRPr="00C555C8" w14:paraId="3E34A522" w14:textId="77777777" w:rsidTr="00C555C8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67D201F4" w14:textId="454D6BB3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 xml:space="preserve">Tampa azul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7EA1E992" w14:textId="650A6BCE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48A7084" w14:textId="09CC59F0" w:rsidR="00C555C8" w:rsidRPr="00C555C8" w:rsidRDefault="00C555C8" w:rsidP="00C555C8">
            <w:pPr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parcialmente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6E0B2FC6" w14:textId="77777777" w:rsidR="00C555C8" w:rsidRPr="00C555C8" w:rsidRDefault="00C555C8" w:rsidP="00C555C8">
            <w:pPr>
              <w:jc w:val="right"/>
              <w:rPr>
                <w:rFonts w:eastAsia="Times New Roman"/>
                <w:color w:val="000000"/>
              </w:rPr>
            </w:pPr>
            <w:r w:rsidRPr="00C555C8">
              <w:rPr>
                <w:rFonts w:eastAsia="Times New Roman"/>
                <w:color w:val="000000"/>
              </w:rPr>
              <w:t>25%</w:t>
            </w:r>
          </w:p>
        </w:tc>
      </w:tr>
    </w:tbl>
    <w:p w14:paraId="631A6A8C" w14:textId="77777777" w:rsidR="00525DC5" w:rsidRPr="00403C5C" w:rsidRDefault="00525DC5" w:rsidP="00525DC5">
      <w:pPr>
        <w:spacing w:line="200" w:lineRule="exact"/>
      </w:pPr>
      <w:r w:rsidRPr="00403C5C">
        <w:t>*Escore final da avaliação de todas as crianças</w:t>
      </w:r>
    </w:p>
    <w:p w14:paraId="0E541DD5" w14:textId="1A62D2BC" w:rsidR="00987CFF" w:rsidRPr="00403C5C" w:rsidRDefault="00987CFF" w:rsidP="00C82AF8">
      <w:pPr>
        <w:spacing w:line="200" w:lineRule="exact"/>
      </w:pPr>
    </w:p>
    <w:p w14:paraId="4390FEDF" w14:textId="71E59478" w:rsidR="005E7C4C" w:rsidRPr="00403C5C" w:rsidRDefault="005E7C4C" w:rsidP="005E7C4C">
      <w:pPr>
        <w:spacing w:line="200" w:lineRule="exact"/>
      </w:pPr>
      <w:r w:rsidRPr="00403C5C">
        <w:t xml:space="preserve">Quadro </w:t>
      </w:r>
      <w:r w:rsidRPr="00403C5C">
        <w:t>3</w:t>
      </w:r>
      <w:r w:rsidRPr="00403C5C">
        <w:t xml:space="preserve">. Avaliação dos brinquedos correspondentes à faixa etária de  </w:t>
      </w:r>
      <w:r w:rsidRPr="00403C5C">
        <w:t>6</w:t>
      </w:r>
      <w:r w:rsidRPr="00403C5C">
        <w:t xml:space="preserve"> a </w:t>
      </w:r>
      <w:r w:rsidRPr="00403C5C">
        <w:t>9</w:t>
      </w:r>
      <w:r w:rsidRPr="00403C5C">
        <w:t xml:space="preserve"> meses, segundo avaliação dos profissionais (n=</w:t>
      </w:r>
      <w:r w:rsidR="00525DC5" w:rsidRPr="00403C5C">
        <w:t>6</w:t>
      </w:r>
      <w:r w:rsidRPr="00403C5C">
        <w:t xml:space="preserve">). </w:t>
      </w:r>
    </w:p>
    <w:tbl>
      <w:tblPr>
        <w:tblW w:w="83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1671"/>
        <w:gridCol w:w="1760"/>
        <w:gridCol w:w="1793"/>
      </w:tblGrid>
      <w:tr w:rsidR="005E7C4C" w:rsidRPr="00C555C8" w14:paraId="181FD5D7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2C8E7DE4" w14:textId="77777777" w:rsidR="005E7C4C" w:rsidRPr="00C555C8" w:rsidRDefault="005E7C4C" w:rsidP="00A6128F">
            <w:pPr>
              <w:rPr>
                <w:rFonts w:eastAsia="Times New Roman"/>
              </w:rPr>
            </w:pPr>
            <w:r w:rsidRPr="00403C5C">
              <w:t>Brinquedo</w:t>
            </w:r>
          </w:p>
        </w:tc>
        <w:tc>
          <w:tcPr>
            <w:tcW w:w="1671" w:type="dxa"/>
            <w:shd w:val="clear" w:color="auto" w:fill="auto"/>
            <w:noWrap/>
            <w:hideMark/>
          </w:tcPr>
          <w:p w14:paraId="7180553D" w14:textId="3A4238B2" w:rsidR="005E7C4C" w:rsidRPr="00C555C8" w:rsidRDefault="005E7C4C" w:rsidP="00A6128F">
            <w:pPr>
              <w:rPr>
                <w:rFonts w:eastAsia="Times New Roman"/>
                <w:color w:val="000000"/>
              </w:rPr>
            </w:pPr>
            <w:r w:rsidRPr="00403C5C">
              <w:t>Médico UBS Bela Vista</w:t>
            </w:r>
            <w:r w:rsidR="00525DC5" w:rsidRPr="00403C5C">
              <w:t>*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6352F4F4" w14:textId="1985E9F8" w:rsidR="005E7C4C" w:rsidRPr="00C555C8" w:rsidRDefault="005E7C4C" w:rsidP="00A6128F">
            <w:pPr>
              <w:rPr>
                <w:rFonts w:eastAsia="Times New Roman"/>
                <w:color w:val="000000"/>
              </w:rPr>
            </w:pPr>
            <w:r w:rsidRPr="00403C5C">
              <w:t>Enfermeiro UBS Frei Damião</w:t>
            </w:r>
            <w:r w:rsidR="00525DC5" w:rsidRPr="00403C5C">
              <w:t>*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08C0EC9" w14:textId="77777777" w:rsidR="005E7C4C" w:rsidRPr="00C555C8" w:rsidRDefault="005E7C4C" w:rsidP="00A6128F">
            <w:pPr>
              <w:rPr>
                <w:rFonts w:eastAsia="Times New Roman"/>
                <w:color w:val="000000"/>
              </w:rPr>
            </w:pPr>
            <w:r w:rsidRPr="00403C5C">
              <w:t>% de equivalência</w:t>
            </w:r>
          </w:p>
        </w:tc>
      </w:tr>
      <w:tr w:rsidR="005E7C4C" w:rsidRPr="00C555C8" w14:paraId="35C07A00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185B6204" w14:textId="5898CF66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 xml:space="preserve">Rolinhos coloridos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04CBE852" w14:textId="69BC0D10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Não 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D9C37BE" w14:textId="4100E810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Não 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0D133AB9" w14:textId="00B45B96" w:rsidR="005E7C4C" w:rsidRPr="00C555C8" w:rsidRDefault="005E7C4C" w:rsidP="005E7C4C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0%</w:t>
            </w:r>
          </w:p>
        </w:tc>
      </w:tr>
      <w:tr w:rsidR="005E7C4C" w:rsidRPr="00C555C8" w14:paraId="18EE4344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34152954" w14:textId="08419FB6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 xml:space="preserve">Mola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2ADF5D13" w14:textId="5F02192E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6026869" w14:textId="2FB8AA90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356C5B10" w14:textId="34852F91" w:rsidR="005E7C4C" w:rsidRPr="00C555C8" w:rsidRDefault="005E7C4C" w:rsidP="005E7C4C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100%</w:t>
            </w:r>
          </w:p>
        </w:tc>
      </w:tr>
      <w:tr w:rsidR="005E7C4C" w:rsidRPr="00C555C8" w14:paraId="5387AFD5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07974200" w14:textId="756EAAC5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 xml:space="preserve">Boneco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50CBB99D" w14:textId="0CAF44D5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29C9E0B" w14:textId="308AAE86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3D67D5F3" w14:textId="2B1FCFDA" w:rsidR="005E7C4C" w:rsidRPr="00C555C8" w:rsidRDefault="005E7C4C" w:rsidP="005E7C4C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100%</w:t>
            </w:r>
          </w:p>
        </w:tc>
      </w:tr>
      <w:tr w:rsidR="005E7C4C" w:rsidRPr="00C555C8" w14:paraId="18B81946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vAlign w:val="center"/>
            <w:hideMark/>
          </w:tcPr>
          <w:p w14:paraId="17714F14" w14:textId="319A4D77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 xml:space="preserve">Bolinha  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14:paraId="70F37DCA" w14:textId="6B1BCD24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Equivalente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2DB22E" w14:textId="3A312D19" w:rsidR="005E7C4C" w:rsidRPr="00C555C8" w:rsidRDefault="005E7C4C" w:rsidP="005E7C4C">
            <w:pPr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Não equivalente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14:paraId="1C197C09" w14:textId="78E4992B" w:rsidR="005E7C4C" w:rsidRPr="00C555C8" w:rsidRDefault="005E7C4C" w:rsidP="005E7C4C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rPr>
                <w:color w:val="000000"/>
              </w:rPr>
              <w:t>50%</w:t>
            </w:r>
          </w:p>
        </w:tc>
      </w:tr>
    </w:tbl>
    <w:p w14:paraId="07767619" w14:textId="77777777" w:rsidR="00525DC5" w:rsidRPr="00403C5C" w:rsidRDefault="00525DC5" w:rsidP="00525DC5">
      <w:pPr>
        <w:spacing w:line="200" w:lineRule="exact"/>
      </w:pPr>
      <w:r w:rsidRPr="00403C5C">
        <w:t>*Escore final da avaliação de todas as crianças</w:t>
      </w:r>
    </w:p>
    <w:p w14:paraId="7DD123D1" w14:textId="29982FE2" w:rsidR="00525DC5" w:rsidRPr="00403C5C" w:rsidRDefault="00525DC5"/>
    <w:p w14:paraId="39ACCCA8" w14:textId="77777777" w:rsidR="0008060E" w:rsidRDefault="0008060E">
      <w:r>
        <w:br w:type="page"/>
      </w:r>
    </w:p>
    <w:p w14:paraId="13B45841" w14:textId="176FDE38" w:rsidR="005E7C4C" w:rsidRPr="00403C5C" w:rsidRDefault="005E7C4C" w:rsidP="005E7C4C">
      <w:pPr>
        <w:spacing w:line="200" w:lineRule="exact"/>
      </w:pPr>
      <w:r w:rsidRPr="00403C5C">
        <w:lastRenderedPageBreak/>
        <w:t xml:space="preserve">Quadro </w:t>
      </w:r>
      <w:r w:rsidR="00ED02BF" w:rsidRPr="00403C5C">
        <w:t>4</w:t>
      </w:r>
      <w:r w:rsidRPr="00403C5C">
        <w:t xml:space="preserve">. Avaliação dos brinquedos correspondentes à faixa etária de  </w:t>
      </w:r>
      <w:r w:rsidRPr="00403C5C">
        <w:t>9</w:t>
      </w:r>
      <w:r w:rsidRPr="00403C5C">
        <w:t xml:space="preserve"> a </w:t>
      </w:r>
      <w:r w:rsidRPr="00403C5C">
        <w:t>12</w:t>
      </w:r>
      <w:r w:rsidRPr="00403C5C">
        <w:t xml:space="preserve"> meses, segundo avaliação dos profissionais (n=</w:t>
      </w:r>
      <w:r w:rsidR="00ED02BF" w:rsidRPr="00403C5C">
        <w:t>5</w:t>
      </w:r>
      <w:r w:rsidRPr="00403C5C">
        <w:t xml:space="preserve">). </w:t>
      </w:r>
    </w:p>
    <w:tbl>
      <w:tblPr>
        <w:tblW w:w="83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1671"/>
        <w:gridCol w:w="1760"/>
        <w:gridCol w:w="1793"/>
      </w:tblGrid>
      <w:tr w:rsidR="005E7C4C" w:rsidRPr="00C555C8" w14:paraId="592653FD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08AA7562" w14:textId="77777777" w:rsidR="005E7C4C" w:rsidRPr="00C555C8" w:rsidRDefault="005E7C4C" w:rsidP="00A6128F">
            <w:pPr>
              <w:rPr>
                <w:rFonts w:eastAsia="Times New Roman"/>
              </w:rPr>
            </w:pPr>
            <w:r w:rsidRPr="00403C5C">
              <w:t>Brinquedo</w:t>
            </w:r>
          </w:p>
        </w:tc>
        <w:tc>
          <w:tcPr>
            <w:tcW w:w="1671" w:type="dxa"/>
            <w:shd w:val="clear" w:color="auto" w:fill="auto"/>
            <w:noWrap/>
            <w:hideMark/>
          </w:tcPr>
          <w:p w14:paraId="0E65D3D2" w14:textId="11B7D59A" w:rsidR="005E7C4C" w:rsidRPr="00C555C8" w:rsidRDefault="005E7C4C" w:rsidP="00A6128F">
            <w:pPr>
              <w:rPr>
                <w:rFonts w:eastAsia="Times New Roman"/>
                <w:color w:val="000000"/>
              </w:rPr>
            </w:pPr>
            <w:r w:rsidRPr="00403C5C">
              <w:t>Médico UBS Bela Vista</w:t>
            </w:r>
            <w:r w:rsidR="00ED02BF" w:rsidRPr="00403C5C">
              <w:t>*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737BE100" w14:textId="548A1CF5" w:rsidR="005E7C4C" w:rsidRPr="00C555C8" w:rsidRDefault="00ED02BF" w:rsidP="00A6128F">
            <w:pPr>
              <w:rPr>
                <w:rFonts w:eastAsia="Times New Roman"/>
                <w:color w:val="000000"/>
              </w:rPr>
            </w:pPr>
            <w:r w:rsidRPr="00403C5C">
              <w:t>Médico UBS Madri*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273A24D" w14:textId="77777777" w:rsidR="005E7C4C" w:rsidRPr="00C555C8" w:rsidRDefault="005E7C4C" w:rsidP="00A6128F">
            <w:pPr>
              <w:rPr>
                <w:rFonts w:eastAsia="Times New Roman"/>
                <w:color w:val="000000"/>
              </w:rPr>
            </w:pPr>
            <w:r w:rsidRPr="00403C5C">
              <w:t>% de equivalência</w:t>
            </w:r>
          </w:p>
        </w:tc>
      </w:tr>
      <w:tr w:rsidR="00ED02BF" w:rsidRPr="00C555C8" w14:paraId="0B66223F" w14:textId="77777777" w:rsidTr="00523AE7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2E710008" w14:textId="079A987D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 xml:space="preserve">Boneco  </w:t>
            </w:r>
          </w:p>
        </w:tc>
        <w:tc>
          <w:tcPr>
            <w:tcW w:w="1671" w:type="dxa"/>
            <w:shd w:val="clear" w:color="auto" w:fill="auto"/>
            <w:noWrap/>
          </w:tcPr>
          <w:p w14:paraId="401AF4B2" w14:textId="1B463E71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60" w:type="dxa"/>
            <w:shd w:val="clear" w:color="auto" w:fill="auto"/>
            <w:noWrap/>
          </w:tcPr>
          <w:p w14:paraId="652A1692" w14:textId="4D6900DD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parcialmente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AB0CAF0" w14:textId="114E37BA" w:rsidR="00ED02BF" w:rsidRPr="00C555C8" w:rsidRDefault="00ED02BF" w:rsidP="00ED02BF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t>50%</w:t>
            </w:r>
          </w:p>
        </w:tc>
      </w:tr>
      <w:tr w:rsidR="00ED02BF" w:rsidRPr="00C555C8" w14:paraId="14B9CB72" w14:textId="77777777" w:rsidTr="00523AE7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683C822F" w14:textId="228FC3C0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 xml:space="preserve">Bolinha </w:t>
            </w:r>
          </w:p>
        </w:tc>
        <w:tc>
          <w:tcPr>
            <w:tcW w:w="1671" w:type="dxa"/>
            <w:shd w:val="clear" w:color="auto" w:fill="auto"/>
            <w:noWrap/>
          </w:tcPr>
          <w:p w14:paraId="745B20DC" w14:textId="70D6272D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60" w:type="dxa"/>
            <w:shd w:val="clear" w:color="auto" w:fill="auto"/>
            <w:noWrap/>
          </w:tcPr>
          <w:p w14:paraId="67088551" w14:textId="505300F7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CEF55C2" w14:textId="2A5C537E" w:rsidR="00ED02BF" w:rsidRPr="00C555C8" w:rsidRDefault="00ED02BF" w:rsidP="00ED02BF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t>100%</w:t>
            </w:r>
          </w:p>
        </w:tc>
      </w:tr>
      <w:tr w:rsidR="00ED02BF" w:rsidRPr="00C555C8" w14:paraId="0C37FC56" w14:textId="77777777" w:rsidTr="00523AE7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36BE9155" w14:textId="0109B70D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 xml:space="preserve">Caixinha de forma geométrica 1 </w:t>
            </w:r>
          </w:p>
        </w:tc>
        <w:tc>
          <w:tcPr>
            <w:tcW w:w="1671" w:type="dxa"/>
            <w:shd w:val="clear" w:color="auto" w:fill="auto"/>
            <w:noWrap/>
          </w:tcPr>
          <w:p w14:paraId="47DA3734" w14:textId="62A9D70A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60" w:type="dxa"/>
            <w:shd w:val="clear" w:color="auto" w:fill="auto"/>
            <w:noWrap/>
          </w:tcPr>
          <w:p w14:paraId="1984B11E" w14:textId="1B58E60A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28B7C9B" w14:textId="5207F765" w:rsidR="00ED02BF" w:rsidRPr="00C555C8" w:rsidRDefault="00ED02BF" w:rsidP="00ED02BF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t>100%</w:t>
            </w:r>
          </w:p>
        </w:tc>
      </w:tr>
    </w:tbl>
    <w:p w14:paraId="3AA0E017" w14:textId="77777777" w:rsidR="00525DC5" w:rsidRPr="00403C5C" w:rsidRDefault="00525DC5" w:rsidP="00525DC5">
      <w:pPr>
        <w:spacing w:line="200" w:lineRule="exact"/>
      </w:pPr>
      <w:r w:rsidRPr="00403C5C">
        <w:t>*Escore final da avaliação de todas as crianças</w:t>
      </w:r>
    </w:p>
    <w:p w14:paraId="5CB44E09" w14:textId="05D25F03" w:rsidR="005E7C4C" w:rsidRPr="00403C5C" w:rsidRDefault="0030253E" w:rsidP="005E7C4C">
      <w:pPr>
        <w:spacing w:line="200" w:lineRule="exact"/>
      </w:pPr>
      <w:r w:rsidRPr="0030253E">
        <w:rPr>
          <w:noProof/>
        </w:rPr>
        <w:drawing>
          <wp:anchor distT="0" distB="0" distL="114300" distR="114300" simplePos="0" relativeHeight="251670016" behindDoc="1" locked="0" layoutInCell="0" allowOverlap="1" wp14:anchorId="18B2726F" wp14:editId="67131191">
            <wp:simplePos x="0" y="0"/>
            <wp:positionH relativeFrom="page">
              <wp:posOffset>5737860</wp:posOffset>
            </wp:positionH>
            <wp:positionV relativeFrom="page">
              <wp:posOffset>173355</wp:posOffset>
            </wp:positionV>
            <wp:extent cx="868680" cy="6477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7C4C" w:rsidRPr="00403C5C">
        <w:t xml:space="preserve">Quadro </w:t>
      </w:r>
      <w:r w:rsidR="00ED02BF" w:rsidRPr="00403C5C">
        <w:t>5</w:t>
      </w:r>
      <w:r w:rsidR="005E7C4C" w:rsidRPr="00403C5C">
        <w:t xml:space="preserve">. Avaliação dos brinquedos correspondentes à faixa etária de  </w:t>
      </w:r>
      <w:r w:rsidR="005E7C4C" w:rsidRPr="00403C5C">
        <w:t>12</w:t>
      </w:r>
      <w:r w:rsidR="005E7C4C" w:rsidRPr="00403C5C">
        <w:t xml:space="preserve"> a </w:t>
      </w:r>
      <w:r w:rsidR="005E7C4C" w:rsidRPr="00403C5C">
        <w:t>15</w:t>
      </w:r>
      <w:r w:rsidR="005E7C4C" w:rsidRPr="00403C5C">
        <w:t xml:space="preserve"> meses, segundo avaliação dos profissionais (n=</w:t>
      </w:r>
      <w:r w:rsidR="00ED02BF" w:rsidRPr="00403C5C">
        <w:t>5</w:t>
      </w:r>
      <w:r w:rsidR="005E7C4C" w:rsidRPr="00403C5C">
        <w:t xml:space="preserve">). </w:t>
      </w:r>
    </w:p>
    <w:tbl>
      <w:tblPr>
        <w:tblW w:w="83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1671"/>
        <w:gridCol w:w="1760"/>
        <w:gridCol w:w="1793"/>
      </w:tblGrid>
      <w:tr w:rsidR="00ED02BF" w:rsidRPr="00403C5C" w14:paraId="1ACD1127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764B7EF2" w14:textId="77777777" w:rsidR="00ED02BF" w:rsidRPr="00C555C8" w:rsidRDefault="00ED02BF" w:rsidP="00A6128F">
            <w:pPr>
              <w:rPr>
                <w:rFonts w:eastAsia="Times New Roman"/>
              </w:rPr>
            </w:pPr>
            <w:r w:rsidRPr="00403C5C">
              <w:t>Brinquedo</w:t>
            </w:r>
          </w:p>
        </w:tc>
        <w:tc>
          <w:tcPr>
            <w:tcW w:w="1671" w:type="dxa"/>
            <w:shd w:val="clear" w:color="auto" w:fill="auto"/>
            <w:noWrap/>
            <w:hideMark/>
          </w:tcPr>
          <w:p w14:paraId="49520D6A" w14:textId="77777777" w:rsidR="00ED02BF" w:rsidRPr="00C555C8" w:rsidRDefault="00ED02BF" w:rsidP="00A6128F">
            <w:pPr>
              <w:rPr>
                <w:rFonts w:eastAsia="Times New Roman"/>
                <w:color w:val="000000"/>
              </w:rPr>
            </w:pPr>
            <w:r w:rsidRPr="00403C5C">
              <w:t>Médico UBS Bela Vista*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6BD96CF4" w14:textId="77777777" w:rsidR="00ED02BF" w:rsidRPr="00C555C8" w:rsidRDefault="00ED02BF" w:rsidP="00A6128F">
            <w:pPr>
              <w:rPr>
                <w:rFonts w:eastAsia="Times New Roman"/>
                <w:color w:val="000000"/>
              </w:rPr>
            </w:pPr>
            <w:r w:rsidRPr="00403C5C">
              <w:t>Médico UBS Madri*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F35B77E" w14:textId="77777777" w:rsidR="00ED02BF" w:rsidRPr="00C555C8" w:rsidRDefault="00ED02BF" w:rsidP="00A6128F">
            <w:pPr>
              <w:rPr>
                <w:rFonts w:eastAsia="Times New Roman"/>
                <w:color w:val="000000"/>
              </w:rPr>
            </w:pPr>
            <w:r w:rsidRPr="00403C5C">
              <w:t>% de equivalência</w:t>
            </w:r>
          </w:p>
        </w:tc>
      </w:tr>
      <w:tr w:rsidR="00ED02BF" w:rsidRPr="00403C5C" w14:paraId="756E2321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4817B75F" w14:textId="67C7C6A4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Tampa azul</w:t>
            </w:r>
          </w:p>
        </w:tc>
        <w:tc>
          <w:tcPr>
            <w:tcW w:w="1671" w:type="dxa"/>
            <w:shd w:val="clear" w:color="auto" w:fill="auto"/>
            <w:noWrap/>
          </w:tcPr>
          <w:p w14:paraId="50E285D0" w14:textId="5A94EE6A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60" w:type="dxa"/>
            <w:shd w:val="clear" w:color="auto" w:fill="auto"/>
            <w:noWrap/>
          </w:tcPr>
          <w:p w14:paraId="1D344F49" w14:textId="5D0EB264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AD26B5F" w14:textId="12C36153" w:rsidR="00ED02BF" w:rsidRPr="00C555C8" w:rsidRDefault="00ED02BF" w:rsidP="00ED02BF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t>10</w:t>
            </w:r>
            <w:r w:rsidRPr="00403C5C">
              <w:t>0%</w:t>
            </w:r>
          </w:p>
        </w:tc>
      </w:tr>
      <w:tr w:rsidR="00ED02BF" w:rsidRPr="00403C5C" w14:paraId="4E21E01A" w14:textId="77777777" w:rsidTr="00A6128F">
        <w:trPr>
          <w:trHeight w:val="300"/>
        </w:trPr>
        <w:tc>
          <w:tcPr>
            <w:tcW w:w="3149" w:type="dxa"/>
            <w:shd w:val="clear" w:color="auto" w:fill="auto"/>
            <w:noWrap/>
            <w:hideMark/>
          </w:tcPr>
          <w:p w14:paraId="1D46A080" w14:textId="3AFA0043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 xml:space="preserve">Potes coloridos </w:t>
            </w:r>
          </w:p>
        </w:tc>
        <w:tc>
          <w:tcPr>
            <w:tcW w:w="1671" w:type="dxa"/>
            <w:shd w:val="clear" w:color="auto" w:fill="auto"/>
            <w:noWrap/>
          </w:tcPr>
          <w:p w14:paraId="39881D8D" w14:textId="557E24AE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60" w:type="dxa"/>
            <w:shd w:val="clear" w:color="auto" w:fill="auto"/>
            <w:noWrap/>
          </w:tcPr>
          <w:p w14:paraId="35E275E7" w14:textId="5C35BEF0" w:rsidR="00ED02BF" w:rsidRPr="00C555C8" w:rsidRDefault="00ED02BF" w:rsidP="00ED02BF">
            <w:pPr>
              <w:rPr>
                <w:rFonts w:eastAsia="Times New Roman"/>
                <w:color w:val="000000"/>
              </w:rPr>
            </w:pPr>
            <w:r w:rsidRPr="00403C5C">
              <w:t>Equivalente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BD1E3ED" w14:textId="77777777" w:rsidR="00ED02BF" w:rsidRPr="00C555C8" w:rsidRDefault="00ED02BF" w:rsidP="00ED02BF">
            <w:pPr>
              <w:jc w:val="right"/>
              <w:rPr>
                <w:rFonts w:eastAsia="Times New Roman"/>
                <w:color w:val="000000"/>
              </w:rPr>
            </w:pPr>
            <w:r w:rsidRPr="00403C5C">
              <w:t>100%</w:t>
            </w:r>
          </w:p>
        </w:tc>
      </w:tr>
    </w:tbl>
    <w:p w14:paraId="48C1B2F0" w14:textId="77777777" w:rsidR="00525DC5" w:rsidRPr="00403C5C" w:rsidRDefault="00525DC5" w:rsidP="00525DC5">
      <w:pPr>
        <w:spacing w:line="200" w:lineRule="exact"/>
      </w:pPr>
      <w:r w:rsidRPr="00403C5C">
        <w:t>*Escore final da avaliação de todas as crianças</w:t>
      </w:r>
    </w:p>
    <w:p w14:paraId="7856CBFB" w14:textId="77777777" w:rsidR="005E7C4C" w:rsidRPr="00403C5C" w:rsidRDefault="005E7C4C" w:rsidP="00C82AF8">
      <w:pPr>
        <w:rPr>
          <w:rFonts w:eastAsia="Calibri"/>
          <w:b/>
          <w:bCs/>
        </w:rPr>
      </w:pPr>
    </w:p>
    <w:p w14:paraId="2F5A2283" w14:textId="5E395584" w:rsidR="00361694" w:rsidRPr="00361694" w:rsidRDefault="00361694" w:rsidP="00361694">
      <w:pPr>
        <w:ind w:firstLine="720"/>
        <w:jc w:val="both"/>
      </w:pPr>
      <w:r>
        <w:rPr>
          <w:rFonts w:eastAsia="Calibri"/>
        </w:rPr>
        <w:t>Ao analisar as faixas etárias observou-se que o</w:t>
      </w:r>
      <w:r w:rsidRPr="00361694">
        <w:rPr>
          <w:rFonts w:eastAsia="Calibri"/>
        </w:rPr>
        <w:t>s brinquedos mostraram</w:t>
      </w:r>
      <w:r>
        <w:rPr>
          <w:rFonts w:eastAsia="Calibri"/>
        </w:rPr>
        <w:t>-se</w:t>
      </w:r>
      <w:r w:rsidRPr="00361694">
        <w:rPr>
          <w:rFonts w:eastAsia="Calibri"/>
        </w:rPr>
        <w:t xml:space="preserve"> equivalentes </w:t>
      </w:r>
      <w:r>
        <w:rPr>
          <w:rFonts w:eastAsia="Calibri"/>
        </w:rPr>
        <w:t xml:space="preserve"> em sua maioria </w:t>
      </w:r>
      <w:r w:rsidRPr="00361694">
        <w:rPr>
          <w:rFonts w:eastAsia="Calibri"/>
        </w:rPr>
        <w:t>para a avaliação do DNPM</w:t>
      </w:r>
      <w:r>
        <w:rPr>
          <w:rFonts w:eastAsia="Calibri"/>
        </w:rPr>
        <w:t>, destaca-se o fato da utilização de brinquedos de baixo custo. A</w:t>
      </w:r>
      <w:r w:rsidRPr="00361694">
        <w:t xml:space="preserve">utores destacam a importância de kit educativo de baixo custo para vigilância dos marcos de desenvolvimento em países de baixa e média renda (FERNALD et al., 2017). </w:t>
      </w:r>
      <w:r>
        <w:t>Da mesma maneira, esse estudo torna-se um dos pioneiros em avaliar tais estratégias na Atenção primária à saúde pois, n</w:t>
      </w:r>
      <w:r w:rsidRPr="00361694">
        <w:t xml:space="preserve">o Brasil, poucas evidências foram observadas, em especial para estratégias como os kits educativos, em geral a avaliação se dá através das orientações mais pragmáticas de triagem, ou ainda, com relatos de lacunas sobre a triagem completa proposta pela caderneta de saúde (SOARES et al., 2017).  </w:t>
      </w:r>
    </w:p>
    <w:p w14:paraId="335EF39B" w14:textId="77777777" w:rsidR="005E7C4C" w:rsidRPr="00403C5C" w:rsidRDefault="005E7C4C" w:rsidP="00C82AF8">
      <w:pPr>
        <w:rPr>
          <w:rFonts w:eastAsia="Calibri"/>
          <w:b/>
          <w:bCs/>
        </w:rPr>
      </w:pPr>
    </w:p>
    <w:p w14:paraId="50F52837" w14:textId="4744BEF7" w:rsidR="00987CFF" w:rsidRPr="00403C5C" w:rsidRDefault="00000000" w:rsidP="00C82AF8">
      <w:r w:rsidRPr="00403C5C">
        <w:rPr>
          <w:rFonts w:eastAsia="Calibri"/>
          <w:b/>
          <w:bCs/>
        </w:rPr>
        <w:t>CONCLUSÕES</w:t>
      </w:r>
    </w:p>
    <w:p w14:paraId="11114506" w14:textId="6917AF7D" w:rsidR="00D03B27" w:rsidRPr="00403C5C" w:rsidRDefault="00000000" w:rsidP="00361694">
      <w:pPr>
        <w:ind w:right="266"/>
        <w:jc w:val="both"/>
      </w:pPr>
      <w:r w:rsidRPr="00403C5C">
        <w:rPr>
          <w:rFonts w:eastAsia="Calibri"/>
        </w:rPr>
        <w:t>A realização do trabalho permite concluir que é</w:t>
      </w:r>
      <w:r w:rsidR="00361694">
        <w:rPr>
          <w:rFonts w:eastAsia="Calibri"/>
        </w:rPr>
        <w:t xml:space="preserve"> os brinquedos de baixo custo, propostos no kit e</w:t>
      </w:r>
      <w:r w:rsidR="00361694" w:rsidRPr="00403C5C">
        <w:rPr>
          <w:color w:val="000000"/>
        </w:rPr>
        <w:t>ducativo de avaliação do desenvolvimento neuropsicomotor, para crianças de zero a dois anos na atenção primária à saúde</w:t>
      </w:r>
      <w:r w:rsidR="00361694">
        <w:rPr>
          <w:color w:val="000000"/>
        </w:rPr>
        <w:t xml:space="preserve"> apresentou boa validade de equivalência, sendo indicado para utilização na atenção primária.</w:t>
      </w:r>
    </w:p>
    <w:p w14:paraId="1D4EBA45" w14:textId="77777777" w:rsidR="00987CFF" w:rsidRPr="00403C5C" w:rsidRDefault="00987CFF" w:rsidP="00C82AF8">
      <w:pPr>
        <w:spacing w:line="301" w:lineRule="exact"/>
      </w:pPr>
    </w:p>
    <w:p w14:paraId="704C9832" w14:textId="77777777" w:rsidR="00987CFF" w:rsidRPr="0030253E" w:rsidRDefault="00000000" w:rsidP="00C82AF8">
      <w:r w:rsidRPr="0030253E">
        <w:rPr>
          <w:rFonts w:eastAsia="Calibri"/>
          <w:b/>
          <w:bCs/>
        </w:rPr>
        <w:t>REFERÊNCIAS</w:t>
      </w:r>
    </w:p>
    <w:p w14:paraId="31B762C8" w14:textId="77777777" w:rsidR="0030253E" w:rsidRPr="0030253E" w:rsidRDefault="0030253E" w:rsidP="0030253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30253E">
        <w:t xml:space="preserve">BARROS, Rosemary Santos de; SOUZA, Katharine Mendes de; PAIVA, </w:t>
      </w:r>
      <w:proofErr w:type="spellStart"/>
      <w:r w:rsidRPr="0030253E">
        <w:t>Grasiela</w:t>
      </w:r>
      <w:proofErr w:type="spellEnd"/>
      <w:r w:rsidRPr="0030253E">
        <w:t xml:space="preserve"> dos Santos; SILVA, Erick Gomes da; SILVA, Daniela Cristina da; et al.. S. et al. Principais instrumentos para avaliação do desenvolvimento neuropsicomotor em crianças no Brasil. </w:t>
      </w:r>
      <w:r w:rsidRPr="0030253E">
        <w:rPr>
          <w:b/>
        </w:rPr>
        <w:t xml:space="preserve">Brazilian Journal of </w:t>
      </w:r>
      <w:proofErr w:type="spellStart"/>
      <w:r w:rsidRPr="0030253E">
        <w:rPr>
          <w:b/>
        </w:rPr>
        <w:t>Development</w:t>
      </w:r>
      <w:proofErr w:type="spellEnd"/>
      <w:r w:rsidRPr="0030253E">
        <w:t xml:space="preserve">, v. 6, n. 8, p. 60393-60406, 2020. Disponível em: </w:t>
      </w:r>
      <w:hyperlink r:id="rId9">
        <w:r w:rsidRPr="0030253E">
          <w:rPr>
            <w:u w:val="single"/>
          </w:rPr>
          <w:t>https://doi.org/10.34117/bjdv6n8-451</w:t>
        </w:r>
      </w:hyperlink>
      <w:r w:rsidRPr="0030253E">
        <w:t>. Acesso em: 03.07.2023.</w:t>
      </w:r>
    </w:p>
    <w:p w14:paraId="7477FC17" w14:textId="3C94FFB4" w:rsidR="0030253E" w:rsidRPr="0030253E" w:rsidRDefault="0030253E" w:rsidP="003025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r w:rsidRPr="0030253E">
        <w:t xml:space="preserve">CIONI, Giovanni; SGANDURRA, </w:t>
      </w:r>
      <w:proofErr w:type="spellStart"/>
      <w:r w:rsidRPr="0030253E">
        <w:t>Giuseppina</w:t>
      </w:r>
      <w:proofErr w:type="spellEnd"/>
      <w:r w:rsidRPr="0030253E">
        <w:t xml:space="preserve">. Normal </w:t>
      </w:r>
      <w:proofErr w:type="spellStart"/>
      <w:r w:rsidRPr="0030253E">
        <w:t>psychomotor</w:t>
      </w:r>
      <w:proofErr w:type="spellEnd"/>
      <w:r w:rsidRPr="0030253E">
        <w:t xml:space="preserve"> </w:t>
      </w:r>
      <w:proofErr w:type="spellStart"/>
      <w:r w:rsidRPr="0030253E">
        <w:t>development</w:t>
      </w:r>
      <w:proofErr w:type="spellEnd"/>
      <w:r w:rsidRPr="0030253E">
        <w:t xml:space="preserve">. </w:t>
      </w:r>
      <w:r w:rsidRPr="0030253E">
        <w:rPr>
          <w:b/>
        </w:rPr>
        <w:t xml:space="preserve">Handbook of </w:t>
      </w:r>
      <w:proofErr w:type="spellStart"/>
      <w:r w:rsidRPr="0030253E">
        <w:rPr>
          <w:b/>
        </w:rPr>
        <w:t>clinical</w:t>
      </w:r>
      <w:proofErr w:type="spellEnd"/>
      <w:r w:rsidRPr="0030253E">
        <w:rPr>
          <w:b/>
        </w:rPr>
        <w:t xml:space="preserve"> </w:t>
      </w:r>
      <w:proofErr w:type="spellStart"/>
      <w:r w:rsidRPr="0030253E">
        <w:rPr>
          <w:b/>
        </w:rPr>
        <w:t>neurology</w:t>
      </w:r>
      <w:proofErr w:type="spellEnd"/>
      <w:r w:rsidRPr="0030253E">
        <w:t xml:space="preserve">, v. 111, p. 3-15, 2013. Disponível em: </w:t>
      </w:r>
      <w:hyperlink r:id="rId10">
        <w:r w:rsidRPr="0030253E">
          <w:t>https://doi.org/10.1016/B978-0-444-52891-9.00001-4</w:t>
        </w:r>
      </w:hyperlink>
      <w:r w:rsidRPr="0030253E">
        <w:t>. Acesso em: 24.7.2023.</w:t>
      </w:r>
    </w:p>
    <w:p w14:paraId="25BA189F" w14:textId="77777777" w:rsidR="0030253E" w:rsidRPr="0030253E" w:rsidRDefault="0030253E" w:rsidP="0030253E">
      <w:pPr>
        <w:shd w:val="clear" w:color="auto" w:fill="FFFFFF"/>
        <w:spacing w:line="276" w:lineRule="auto"/>
      </w:pPr>
      <w:r w:rsidRPr="0030253E">
        <w:t xml:space="preserve">FERNALD, Lia C. H.; PRADO, Elizabeth; KARIGER, Patrícia; RAIKES, </w:t>
      </w:r>
      <w:proofErr w:type="spellStart"/>
      <w:r w:rsidRPr="0030253E">
        <w:t>Abbie</w:t>
      </w:r>
      <w:proofErr w:type="spellEnd"/>
      <w:r w:rsidRPr="0030253E">
        <w:t xml:space="preserve">. </w:t>
      </w:r>
      <w:r w:rsidRPr="0030253E">
        <w:rPr>
          <w:b/>
        </w:rPr>
        <w:t xml:space="preserve">A toolkit for </w:t>
      </w:r>
      <w:proofErr w:type="spellStart"/>
      <w:r w:rsidRPr="0030253E">
        <w:rPr>
          <w:b/>
        </w:rPr>
        <w:t>measuring</w:t>
      </w:r>
      <w:proofErr w:type="spellEnd"/>
      <w:r w:rsidRPr="0030253E">
        <w:rPr>
          <w:b/>
        </w:rPr>
        <w:t xml:space="preserve"> </w:t>
      </w:r>
      <w:proofErr w:type="spellStart"/>
      <w:r w:rsidRPr="0030253E">
        <w:rPr>
          <w:b/>
        </w:rPr>
        <w:t>early</w:t>
      </w:r>
      <w:proofErr w:type="spellEnd"/>
      <w:r w:rsidRPr="0030253E">
        <w:rPr>
          <w:b/>
        </w:rPr>
        <w:t xml:space="preserve"> </w:t>
      </w:r>
      <w:proofErr w:type="spellStart"/>
      <w:r w:rsidRPr="0030253E">
        <w:rPr>
          <w:b/>
        </w:rPr>
        <w:t>childhood</w:t>
      </w:r>
      <w:proofErr w:type="spellEnd"/>
      <w:r w:rsidRPr="0030253E">
        <w:rPr>
          <w:b/>
        </w:rPr>
        <w:t xml:space="preserve"> </w:t>
      </w:r>
      <w:proofErr w:type="spellStart"/>
      <w:r w:rsidRPr="0030253E">
        <w:rPr>
          <w:b/>
        </w:rPr>
        <w:t>development</w:t>
      </w:r>
      <w:proofErr w:type="spellEnd"/>
      <w:r w:rsidRPr="0030253E">
        <w:rPr>
          <w:b/>
        </w:rPr>
        <w:t xml:space="preserve"> in </w:t>
      </w:r>
      <w:proofErr w:type="spellStart"/>
      <w:r w:rsidRPr="0030253E">
        <w:rPr>
          <w:b/>
        </w:rPr>
        <w:t>low</w:t>
      </w:r>
      <w:proofErr w:type="spellEnd"/>
      <w:r w:rsidRPr="0030253E">
        <w:rPr>
          <w:b/>
        </w:rPr>
        <w:t xml:space="preserve">- and </w:t>
      </w:r>
      <w:proofErr w:type="spellStart"/>
      <w:r w:rsidRPr="0030253E">
        <w:rPr>
          <w:b/>
        </w:rPr>
        <w:t>middle</w:t>
      </w:r>
      <w:proofErr w:type="spellEnd"/>
      <w:r w:rsidRPr="0030253E">
        <w:rPr>
          <w:b/>
        </w:rPr>
        <w:t>-income countries</w:t>
      </w:r>
      <w:r w:rsidRPr="0030253E">
        <w:t xml:space="preserve">. Washington : World Bank, 2017. Disponível em: </w:t>
      </w:r>
      <w:hyperlink r:id="rId11">
        <w:r w:rsidRPr="0030253E">
          <w:rPr>
            <w:color w:val="000000"/>
            <w:u w:val="single"/>
          </w:rPr>
          <w:t>https://openknowledge.worldbank.org/server/api/core/bitstreams/aa0dfbe3-824e-501e-8ce7-477d09a57224/content</w:t>
        </w:r>
      </w:hyperlink>
      <w:r w:rsidRPr="0030253E">
        <w:rPr>
          <w:color w:val="FF0000"/>
        </w:rPr>
        <w:t xml:space="preserve">. </w:t>
      </w:r>
      <w:r w:rsidRPr="0030253E">
        <w:t>Acessado em: 27.7.2023.</w:t>
      </w:r>
    </w:p>
    <w:p w14:paraId="19E459AB" w14:textId="77777777" w:rsidR="0030253E" w:rsidRPr="0030253E" w:rsidRDefault="0030253E" w:rsidP="0030253E">
      <w:pPr>
        <w:spacing w:line="276" w:lineRule="auto"/>
      </w:pPr>
      <w:r w:rsidRPr="0030253E">
        <w:t xml:space="preserve">SOARES, Ana Ravenna Sales; GOLNDIM, Edna Jéssica Lima; ARRUDA, Gisele Maria Melo Soares; VASCONCELOS, Thiago Brasileiro de. Avaliação do desenvolvimento neuropsicomotor em crianças de 0-18 meses acompanhadas em uma unidade básica de saúde da família. </w:t>
      </w:r>
      <w:r w:rsidRPr="0030253E">
        <w:rPr>
          <w:b/>
        </w:rPr>
        <w:t>Saúde e Pesquisa</w:t>
      </w:r>
      <w:r w:rsidRPr="0030253E">
        <w:t xml:space="preserve">, v. 10, n. 3, p. 531-538, 2017. Disponível em: </w:t>
      </w:r>
      <w:hyperlink r:id="rId12">
        <w:r w:rsidRPr="0030253E">
          <w:t>http://dx.doi.org/10.177651/1983-1870.2017v10n3p531-538</w:t>
        </w:r>
      </w:hyperlink>
      <w:r w:rsidRPr="0030253E">
        <w:t>. Acesso em: 03. 07. 2023.</w:t>
      </w:r>
    </w:p>
    <w:p w14:paraId="2ABD871C" w14:textId="77777777" w:rsidR="0008060E" w:rsidRDefault="0008060E">
      <w:bookmarkStart w:id="0" w:name="_heading=h.aensocshodgh" w:colFirst="0" w:colLast="0"/>
      <w:bookmarkStart w:id="1" w:name="_heading=h.3y4g2ba2j6qd" w:colFirst="0" w:colLast="0"/>
      <w:bookmarkEnd w:id="0"/>
      <w:bookmarkEnd w:id="1"/>
      <w:r>
        <w:br w:type="page"/>
      </w:r>
    </w:p>
    <w:p w14:paraId="01344A18" w14:textId="3534195B" w:rsidR="0030253E" w:rsidRPr="0030253E" w:rsidRDefault="0030253E" w:rsidP="0030253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30253E">
        <w:lastRenderedPageBreak/>
        <w:t xml:space="preserve">YOUNG, Elizabeth; JAGATHESAN, </w:t>
      </w:r>
      <w:proofErr w:type="spellStart"/>
      <w:r w:rsidRPr="0030253E">
        <w:t>Thivia</w:t>
      </w:r>
      <w:proofErr w:type="spellEnd"/>
      <w:r w:rsidRPr="0030253E">
        <w:t xml:space="preserve">; PARK, </w:t>
      </w:r>
      <w:proofErr w:type="spellStart"/>
      <w:r w:rsidRPr="0030253E">
        <w:t>Hyeiji</w:t>
      </w:r>
      <w:proofErr w:type="spellEnd"/>
      <w:r w:rsidRPr="0030253E">
        <w:t xml:space="preserve">; ZUBAIRI, Mohammad </w:t>
      </w:r>
      <w:proofErr w:type="spellStart"/>
      <w:r w:rsidRPr="0030253E">
        <w:t>Samad</w:t>
      </w:r>
      <w:proofErr w:type="spellEnd"/>
      <w:r w:rsidRPr="0030253E">
        <w:t xml:space="preserve">. The paediatric developmental toolkit: </w:t>
      </w:r>
      <w:proofErr w:type="spellStart"/>
      <w:r w:rsidRPr="0030253E">
        <w:t>facilitating</w:t>
      </w:r>
      <w:proofErr w:type="spellEnd"/>
      <w:r w:rsidRPr="0030253E">
        <w:t xml:space="preserve"> learning of </w:t>
      </w:r>
      <w:proofErr w:type="spellStart"/>
      <w:r w:rsidRPr="0030253E">
        <w:t>child</w:t>
      </w:r>
      <w:proofErr w:type="spellEnd"/>
      <w:r w:rsidRPr="0030253E">
        <w:t xml:space="preserve"> </w:t>
      </w:r>
      <w:proofErr w:type="spellStart"/>
      <w:r w:rsidRPr="0030253E">
        <w:t>development</w:t>
      </w:r>
      <w:proofErr w:type="spellEnd"/>
      <w:r w:rsidRPr="0030253E">
        <w:t xml:space="preserve">. </w:t>
      </w:r>
      <w:proofErr w:type="spellStart"/>
      <w:r w:rsidRPr="0030253E">
        <w:rPr>
          <w:b/>
        </w:rPr>
        <w:t>Paediatrics</w:t>
      </w:r>
      <w:proofErr w:type="spellEnd"/>
      <w:r w:rsidRPr="0030253E">
        <w:rPr>
          <w:b/>
        </w:rPr>
        <w:t xml:space="preserve"> &amp; </w:t>
      </w:r>
      <w:proofErr w:type="spellStart"/>
      <w:r w:rsidRPr="0030253E">
        <w:rPr>
          <w:b/>
        </w:rPr>
        <w:t>Child</w:t>
      </w:r>
      <w:proofErr w:type="spellEnd"/>
      <w:r w:rsidRPr="0030253E">
        <w:rPr>
          <w:b/>
        </w:rPr>
        <w:t xml:space="preserve"> Health</w:t>
      </w:r>
      <w:r w:rsidRPr="0030253E">
        <w:t xml:space="preserve">, v. 26, n. 3, p. 149-153, 2020. Disponível em: </w:t>
      </w:r>
      <w:hyperlink r:id="rId13">
        <w:r w:rsidRPr="0030253E">
          <w:rPr>
            <w:color w:val="0000FF"/>
            <w:u w:val="single"/>
          </w:rPr>
          <w:t>https://www.ncbi.nlm.nih.gov/pmc/articles/PMC8077197/pdf/pxaa061.pdf</w:t>
        </w:r>
      </w:hyperlink>
      <w:r w:rsidRPr="0030253E">
        <w:t>. Acessado em 27.7.2023.</w:t>
      </w:r>
    </w:p>
    <w:p w14:paraId="22F3ACEA" w14:textId="77777777" w:rsidR="0030253E" w:rsidRPr="0030253E" w:rsidRDefault="0030253E" w:rsidP="0030253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85214F" w14:textId="7DEA77B4" w:rsidR="00987CFF" w:rsidRPr="0030253E" w:rsidRDefault="00987CFF" w:rsidP="0030253E">
      <w:pPr>
        <w:spacing w:line="20" w:lineRule="exact"/>
      </w:pPr>
    </w:p>
    <w:p w14:paraId="1AECA684" w14:textId="57F9F459" w:rsidR="00987CFF" w:rsidRPr="0030253E" w:rsidRDefault="00000000" w:rsidP="0030253E">
      <w:r w:rsidRPr="0030253E">
        <w:rPr>
          <w:rFonts w:eastAsia="Calibri"/>
          <w:b/>
          <w:bCs/>
        </w:rPr>
        <w:t>FOMENTO</w:t>
      </w:r>
    </w:p>
    <w:p w14:paraId="0DEE81DA" w14:textId="45F0F85C" w:rsidR="00987CFF" w:rsidRPr="00403C5C" w:rsidRDefault="0008060E" w:rsidP="0030253E">
      <w:pPr>
        <w:spacing w:line="351" w:lineRule="auto"/>
        <w:ind w:right="266"/>
        <w:jc w:val="both"/>
      </w:pPr>
      <w:r w:rsidRPr="00403C5C">
        <w:rPr>
          <w:noProof/>
        </w:rPr>
        <w:drawing>
          <wp:anchor distT="0" distB="0" distL="114300" distR="114300" simplePos="0" relativeHeight="251673088" behindDoc="1" locked="0" layoutInCell="0" allowOverlap="1" wp14:anchorId="03828170" wp14:editId="083A3BC4">
            <wp:simplePos x="0" y="0"/>
            <wp:positionH relativeFrom="column">
              <wp:posOffset>911860</wp:posOffset>
            </wp:positionH>
            <wp:positionV relativeFrom="paragraph">
              <wp:posOffset>7919720</wp:posOffset>
            </wp:positionV>
            <wp:extent cx="5672455" cy="134810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5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 w:rsidRPr="0030253E">
        <w:rPr>
          <w:rFonts w:eastAsia="Calibri"/>
        </w:rPr>
        <w:t xml:space="preserve">O trabalho teve a concessão de Bolsa pelo Programa Institucional de Bolsas de Iniciação </w:t>
      </w:r>
      <w:r w:rsidR="00D03B27" w:rsidRPr="0030253E">
        <w:rPr>
          <w:rFonts w:eastAsia="Calibri"/>
        </w:rPr>
        <w:t>Científica PRO-CIÊNCIA</w:t>
      </w:r>
      <w:r w:rsidR="00000000" w:rsidRPr="0030253E">
        <w:rPr>
          <w:rFonts w:eastAsia="Calibri"/>
        </w:rPr>
        <w:t>.</w:t>
      </w:r>
    </w:p>
    <w:sectPr w:rsidR="00987CFF" w:rsidRPr="00403C5C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3488E" w14:textId="77777777" w:rsidR="00F72464" w:rsidRDefault="00F72464" w:rsidP="0030253E">
      <w:r>
        <w:separator/>
      </w:r>
    </w:p>
  </w:endnote>
  <w:endnote w:type="continuationSeparator" w:id="0">
    <w:p w14:paraId="126BDB00" w14:textId="77777777" w:rsidR="00F72464" w:rsidRDefault="00F72464" w:rsidP="0030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BC8AC" w14:textId="77777777" w:rsidR="00F72464" w:rsidRDefault="00F72464" w:rsidP="0030253E">
      <w:r>
        <w:separator/>
      </w:r>
    </w:p>
  </w:footnote>
  <w:footnote w:type="continuationSeparator" w:id="0">
    <w:p w14:paraId="47374CCC" w14:textId="77777777" w:rsidR="00F72464" w:rsidRDefault="00F72464" w:rsidP="0030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6784"/>
    <w:multiLevelType w:val="hybridMultilevel"/>
    <w:tmpl w:val="9556939C"/>
    <w:lvl w:ilvl="0" w:tplc="37AAE18E">
      <w:start w:val="1"/>
      <w:numFmt w:val="bullet"/>
      <w:lvlText w:val="à"/>
      <w:lvlJc w:val="left"/>
    </w:lvl>
    <w:lvl w:ilvl="1" w:tplc="AE4E51A8">
      <w:numFmt w:val="decimal"/>
      <w:lvlText w:val=""/>
      <w:lvlJc w:val="left"/>
    </w:lvl>
    <w:lvl w:ilvl="2" w:tplc="160ADEB4">
      <w:numFmt w:val="decimal"/>
      <w:lvlText w:val=""/>
      <w:lvlJc w:val="left"/>
    </w:lvl>
    <w:lvl w:ilvl="3" w:tplc="27345638">
      <w:numFmt w:val="decimal"/>
      <w:lvlText w:val=""/>
      <w:lvlJc w:val="left"/>
    </w:lvl>
    <w:lvl w:ilvl="4" w:tplc="19E00D4A">
      <w:numFmt w:val="decimal"/>
      <w:lvlText w:val=""/>
      <w:lvlJc w:val="left"/>
    </w:lvl>
    <w:lvl w:ilvl="5" w:tplc="26E4839C">
      <w:numFmt w:val="decimal"/>
      <w:lvlText w:val=""/>
      <w:lvlJc w:val="left"/>
    </w:lvl>
    <w:lvl w:ilvl="6" w:tplc="62C0FE02">
      <w:numFmt w:val="decimal"/>
      <w:lvlText w:val=""/>
      <w:lvlJc w:val="left"/>
    </w:lvl>
    <w:lvl w:ilvl="7" w:tplc="5C28F368">
      <w:numFmt w:val="decimal"/>
      <w:lvlText w:val=""/>
      <w:lvlJc w:val="left"/>
    </w:lvl>
    <w:lvl w:ilvl="8" w:tplc="7714B85C">
      <w:numFmt w:val="decimal"/>
      <w:lvlText w:val=""/>
      <w:lvlJc w:val="left"/>
    </w:lvl>
  </w:abstractNum>
  <w:num w:numId="1" w16cid:durableId="3206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FF"/>
    <w:rsid w:val="0008060E"/>
    <w:rsid w:val="0023432B"/>
    <w:rsid w:val="0030253E"/>
    <w:rsid w:val="00361694"/>
    <w:rsid w:val="00403C5C"/>
    <w:rsid w:val="00525DC5"/>
    <w:rsid w:val="005D43B3"/>
    <w:rsid w:val="005E7C4C"/>
    <w:rsid w:val="00987CFF"/>
    <w:rsid w:val="00C555C8"/>
    <w:rsid w:val="00C82AF8"/>
    <w:rsid w:val="00D03B27"/>
    <w:rsid w:val="00ED02BF"/>
    <w:rsid w:val="00F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CAC77"/>
  <w15:docId w15:val="{F45E29F0-1EA0-48B7-A850-38536F82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B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5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2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53E"/>
  </w:style>
  <w:style w:type="paragraph" w:styleId="Rodap">
    <w:name w:val="footer"/>
    <w:basedOn w:val="Normal"/>
    <w:link w:val="RodapChar"/>
    <w:uiPriority w:val="99"/>
    <w:unhideWhenUsed/>
    <w:rsid w:val="00302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ncbi.nlm.nih.gov/pmc/articles/PMC8077197/pdf/pxaa06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x.doi.org/10.177651/1983-1870.2017v10n3p531-5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knowledge.worldbank.org/server/api/core/bitstreams/aa0dfbe3-824e-501e-8ce7-477d09a57224/conte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B978-0-444-52891-9.00001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4117/bjdv6n8-45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1496</Words>
  <Characters>9011</Characters>
  <Application>Microsoft Office Word</Application>
  <DocSecurity>0</DocSecurity>
  <Lines>250</Lines>
  <Paragraphs>154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Figueiredo</cp:lastModifiedBy>
  <cp:revision>4</cp:revision>
  <dcterms:created xsi:type="dcterms:W3CDTF">2024-11-25T14:55:00Z</dcterms:created>
  <dcterms:modified xsi:type="dcterms:W3CDTF">2024-11-25T18:13:00Z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b550d16bddec274aecb7db7730841f1f2b31da9e257c973b81889de6a8f494f0</vt:lpwstr>
  </property>
</Properties>
</file>