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EVOLUÇÃO CLÍNICA E COMPLICAÇÕES DECORRENTES DE CIRURGIA BARIÁTRICA EM PACIENTES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Protocolo do Projeto:  7332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Arial" w:cs="Arial" w:eastAsia="Arial" w:hAnsi="Arial"/>
        </w:rPr>
      </w:pPr>
      <w:r w:rsidDel="00000000" w:rsidR="00000000" w:rsidRPr="00000000">
        <w:rPr>
          <w:rFonts w:ascii="Arial" w:cs="Arial" w:eastAsia="Arial" w:hAnsi="Arial"/>
          <w:b w:val="1"/>
          <w:rtl w:val="0"/>
        </w:rPr>
        <w:t xml:space="preserve">Autores e Orientadores: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Kaio Waltrick Vieira</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Beatriz Schuelter Trevisol</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Guilherme Augusto da Mata Rosas</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Emanuelle Schmitt Goedert</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Paola Ascari Garcia</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Pedro Henrique Ferrazza Sperotto²;</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Gabriela de Souza Bett</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Amanda Oliveira Alves da Costa</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2</w:t>
      </w:r>
      <w:r w:rsidDel="00000000" w:rsidR="00000000" w:rsidRPr="00000000">
        <w:rPr>
          <w:rFonts w:ascii="Arial" w:cs="Arial" w:eastAsia="Arial" w:hAnsi="Arial"/>
          <w:rtl w:val="0"/>
        </w:rPr>
        <w:t xml:space="preserve">; Hamilton Roberto Moreira de Oliveira Carriço</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Maria Eduarda da Silva Knoblauch</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Dr. Daisson José Trevisol</w:t>
      </w:r>
      <w:r w:rsidDel="00000000" w:rsidR="00000000" w:rsidRPr="00000000">
        <w:rPr>
          <w:rFonts w:ascii="Arial" w:cs="Arial" w:eastAsia="Arial" w:hAnsi="Arial"/>
          <w:vertAlign w:val="superscript"/>
          <w:rtl w:val="0"/>
        </w:rPr>
        <w:t xml:space="preserve">1 </w:t>
      </w:r>
      <w:r w:rsidDel="00000000" w:rsidR="00000000" w:rsidRPr="00000000">
        <w:rPr>
          <w:rFonts w:ascii="Arial" w:cs="Arial" w:eastAsia="Arial" w:hAnsi="Arial"/>
          <w:rtl w:val="0"/>
        </w:rPr>
        <w:t xml:space="preserve">(orientador)</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RESUMO </w:t>
      </w:r>
    </w:p>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Fonts w:ascii="Arial" w:cs="Arial" w:eastAsia="Arial" w:hAnsi="Arial"/>
          <w:rtl w:val="0"/>
        </w:rPr>
        <w:t xml:space="preserve">O objetivo do estudo foi avaliar a evolução clínica e verificar complicações decorrentes de cirurgia bariátrica em pacientes que realizaram o procedimento em um hospital do Sul de Santa Catarina. Este estudo transversal avaliou 53 prontuários de pacientes que realizaram a cirurgia bariátrica e efetuaram acompanhamento com equipe médica local. Foram avaliados pacientes de ambos os sexos e variadas idades. As principais variáveis utilizadas foram: comorbidades anteriores ao procedimento e se houve resolução após ele, ocorrência de complicações pós-operatórias e IMC. O grupo do estudo foi composto por 81,1% de mulheres com média de idade de 38,3 anos. Observou-se nos pacientes que apresentaram complicações, um IMC médio mais elevado, em relação à amostra total. Foram também levantadas as comorbidades prévias e seus desfechos clínicos após o procedimento. Apesar do alto risco cirúrgico, aliado às possíveis complicações, observou-se a melhora significativa das comorbidades, contribuindo para uma melhor qualidade de vida.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INTRODUÇÃO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spacing w:line="360" w:lineRule="auto"/>
        <w:jc w:val="both"/>
        <w:rPr>
          <w:rFonts w:ascii="Arial" w:cs="Arial" w:eastAsia="Arial" w:hAnsi="Arial"/>
        </w:rPr>
      </w:pPr>
      <w:r w:rsidDel="00000000" w:rsidR="00000000" w:rsidRPr="00000000">
        <w:rPr>
          <w:rFonts w:ascii="Arial" w:cs="Arial" w:eastAsia="Arial" w:hAnsi="Arial"/>
          <w:rtl w:val="0"/>
        </w:rPr>
        <w:t xml:space="preserve">A Organização Mundial da Saúde (OMS, 1998) definiu sobrepeso e obesidade como acúmulo anormal ou excessivo de gordura que apresenta risco à saúde. Segundo a Portaria nº 424, de 19 de março de 2013 (BRASIL, 2013), ela é uma condição crônica e um fator de risco para outras doenças. Também segundo a OMS (2018), depois do tabagismo, a obesidade é tida como a segunda causa de morte passível de prevenção. Foi oficialmente integrada à classificação internacional de doenças (CID) em 1990 e antes disso era tratada como fator de risco. Estima-se que, até 2025, cerca de um bilhão de adultos deverão ser afetados por esta condição complexa que é provocada pela interação entre fatores ambientais, genéticos, sociais e comportamentais. </w:t>
      </w:r>
    </w:p>
    <w:p w:rsidR="00000000" w:rsidDel="00000000" w:rsidP="00000000" w:rsidRDefault="00000000" w:rsidRPr="00000000" w14:paraId="0000000C">
      <w:pPr>
        <w:spacing w:line="360" w:lineRule="auto"/>
        <w:jc w:val="both"/>
        <w:rPr>
          <w:rFonts w:ascii="Arial" w:cs="Arial" w:eastAsia="Arial" w:hAnsi="Arial"/>
        </w:rPr>
      </w:pPr>
      <w:r w:rsidDel="00000000" w:rsidR="00000000" w:rsidRPr="00000000">
        <w:rPr>
          <w:rFonts w:ascii="Arial Unicode MS" w:cs="Arial Unicode MS" w:eastAsia="Arial Unicode MS" w:hAnsi="Arial Unicode MS"/>
          <w:rtl w:val="0"/>
        </w:rPr>
        <w:t xml:space="preserve">No contexto da obesidade mórbida (IMC ≥ 40 kg/m²), a intervenção cirúrgica é a modalidade terapêutica mais eficaz a longo prazo. Indivíduos com IMC ≥ 35 kg/m² associados a comorbidades relacionadas à obesidade também podem ser considerados candidatos elegíveis, desde que apresentem documentação comprovando tentativas anteriores fracassadas de perda de peso por meio de intervenções dietéticas, farmacológicas e/ou psicoterapêuticas ao longo de um período de dois anos. Além disso, certas condições clínicas graves precipitadas ou agravadas pela obesidade podem apresentar melhora significativa após a intervenção cirúrgica.</w:t>
      </w:r>
    </w:p>
    <w:p w:rsidR="00000000" w:rsidDel="00000000" w:rsidP="00000000" w:rsidRDefault="00000000" w:rsidRPr="00000000" w14:paraId="0000000D">
      <w:pPr>
        <w:spacing w:line="360" w:lineRule="auto"/>
        <w:jc w:val="both"/>
        <w:rPr>
          <w:rFonts w:ascii="Arial" w:cs="Arial" w:eastAsia="Arial" w:hAnsi="Arial"/>
        </w:rPr>
      </w:pPr>
      <w:r w:rsidDel="00000000" w:rsidR="00000000" w:rsidRPr="00000000">
        <w:rPr>
          <w:rFonts w:ascii="Arial" w:cs="Arial" w:eastAsia="Arial" w:hAnsi="Arial"/>
          <w:rtl w:val="0"/>
        </w:rPr>
        <w:t xml:space="preserve">O tratamento cirúrgico da obesidade começou na década de 1950, com a realização de técnicas de última instância voltadas para a correção de dislipidemias severas; nas décadas seguintes, foram introduzidos os procedimentos de bypass jejunoileal.</w:t>
      </w:r>
    </w:p>
    <w:p w:rsidR="00000000" w:rsidDel="00000000" w:rsidP="00000000" w:rsidRDefault="00000000" w:rsidRPr="00000000" w14:paraId="0000000E">
      <w:pPr>
        <w:spacing w:line="360" w:lineRule="auto"/>
        <w:jc w:val="both"/>
        <w:rPr>
          <w:rFonts w:ascii="Arial" w:cs="Arial" w:eastAsia="Arial" w:hAnsi="Arial"/>
        </w:rPr>
      </w:pPr>
      <w:r w:rsidDel="00000000" w:rsidR="00000000" w:rsidRPr="00000000">
        <w:rPr>
          <w:rFonts w:ascii="Arial" w:cs="Arial" w:eastAsia="Arial" w:hAnsi="Arial"/>
          <w:rtl w:val="0"/>
        </w:rPr>
        <w:t xml:space="preserve">A gastrectomia vertical, uma técnica não derivativa, remove aproximadamente 80% do estômago, sendo majoritariamente realizada por laparoscopia. Suas vantagens incluem redução dos níveis do hormônio grelina, menor incidência de síndrome disabsortiva e a possibilidade de conversão para outras cirurgias, se necessário. Contudo, complicações como deiscência na linha de grampeamento podem ocorrer.</w:t>
      </w:r>
    </w:p>
    <w:p w:rsidR="00000000" w:rsidDel="00000000" w:rsidP="00000000" w:rsidRDefault="00000000" w:rsidRPr="00000000" w14:paraId="0000000F">
      <w:pPr>
        <w:spacing w:line="360" w:lineRule="auto"/>
        <w:jc w:val="both"/>
        <w:rPr>
          <w:rFonts w:ascii="Arial" w:cs="Arial" w:eastAsia="Arial" w:hAnsi="Arial"/>
        </w:rPr>
      </w:pPr>
      <w:r w:rsidDel="00000000" w:rsidR="00000000" w:rsidRPr="00000000">
        <w:rPr>
          <w:rFonts w:ascii="Arial" w:cs="Arial" w:eastAsia="Arial" w:hAnsi="Arial"/>
          <w:rtl w:val="0"/>
        </w:rPr>
        <w:t xml:space="preserve">O bypass em Y de Roux, técnica derivativa mais comum, envolve a criação de uma bolsa gástrica de cerca de 50 ml, com anastomose ao jejuno em configuração em Y. Esse procedimento pode proporcionar uma perda de peso média de 80%, mas está associado a complicações como deiscência, síndrome de dumping e ingestão proteica inadequada nos primeiros meses. Ambas as técnicas destacam a importância do acompanhamento multidisciplinar no pós-operatório para manutenção do peso e saúde geral. </w:t>
      </w:r>
    </w:p>
    <w:p w:rsidR="00000000" w:rsidDel="00000000" w:rsidP="00000000" w:rsidRDefault="00000000" w:rsidRPr="00000000" w14:paraId="00000010">
      <w:pPr>
        <w:spacing w:line="360" w:lineRule="auto"/>
        <w:jc w:val="both"/>
        <w:rPr>
          <w:rFonts w:ascii="Arial" w:cs="Arial" w:eastAsia="Arial" w:hAnsi="Arial"/>
        </w:rPr>
      </w:pPr>
      <w:r w:rsidDel="00000000" w:rsidR="00000000" w:rsidRPr="00000000">
        <w:rPr>
          <w:rFonts w:ascii="Arial" w:cs="Arial" w:eastAsia="Arial" w:hAnsi="Arial"/>
          <w:rtl w:val="0"/>
        </w:rPr>
        <w:t xml:space="preserve">Levando em consideração a importância de falar sobre o tratamento da obesidade atualmente, o presente estudo teve por objetivo, observar as complicações mais prevalentes em pacientes que foram submetidos a cirurgia bariátrica no período de 2021 até 2024 e que realizaram o procedimento em um hospital do Sul de Santa Catarina.</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b w:val="1"/>
          <w:rtl w:val="0"/>
        </w:rPr>
        <w:t xml:space="preserve">PALAVRAS-CHAVE</w:t>
      </w:r>
      <w:r w:rsidDel="00000000" w:rsidR="00000000" w:rsidRPr="00000000">
        <w:rPr>
          <w:rFonts w:ascii="Arial" w:cs="Arial" w:eastAsia="Arial" w:hAnsi="Arial"/>
          <w:rtl w:val="0"/>
        </w:rPr>
        <w:t xml:space="preserve">: Cirurgia bariátrica, Comorbidades, Tratamento</w:t>
      </w:r>
    </w:p>
    <w:p w:rsidR="00000000" w:rsidDel="00000000" w:rsidP="00000000" w:rsidRDefault="00000000" w:rsidRPr="00000000" w14:paraId="00000013">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360" w:lineRule="auto"/>
        <w:jc w:val="both"/>
        <w:rPr>
          <w:rFonts w:ascii="Arial" w:cs="Arial" w:eastAsia="Arial" w:hAnsi="Arial"/>
        </w:rPr>
      </w:pPr>
      <w:r w:rsidDel="00000000" w:rsidR="00000000" w:rsidRPr="00000000">
        <w:rPr>
          <w:rFonts w:ascii="Arial" w:cs="Arial" w:eastAsia="Arial" w:hAnsi="Arial"/>
          <w:b w:val="1"/>
          <w:rtl w:val="0"/>
        </w:rPr>
        <w:t xml:space="preserve">MÉTODO:</w:t>
      </w: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line="360" w:lineRule="auto"/>
        <w:jc w:val="both"/>
        <w:rPr>
          <w:rFonts w:ascii="Arial" w:cs="Arial" w:eastAsia="Arial" w:hAnsi="Arial"/>
        </w:rPr>
      </w:pPr>
      <w:r w:rsidDel="00000000" w:rsidR="00000000" w:rsidRPr="00000000">
        <w:rPr>
          <w:rFonts w:ascii="Arial" w:cs="Arial" w:eastAsia="Arial" w:hAnsi="Arial"/>
          <w:rtl w:val="0"/>
        </w:rPr>
        <w:t xml:space="preserve">Foi realizado um estudo transversal, com análise de prontuários médicos de pacientes submetidos à cirurgia bariátrica no Hospital Nossa Senhora da Conceição (HNSC) durante o período de referência e que realizaram acompanhamento com a equipe médica por seis meses após o procedimento.</w:t>
      </w:r>
    </w:p>
    <w:p w:rsidR="00000000" w:rsidDel="00000000" w:rsidP="00000000" w:rsidRDefault="00000000" w:rsidRPr="00000000" w14:paraId="0000001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spacing w:line="360" w:lineRule="auto"/>
        <w:jc w:val="both"/>
        <w:rPr>
          <w:rFonts w:ascii="Arial" w:cs="Arial" w:eastAsia="Arial" w:hAnsi="Arial"/>
        </w:rPr>
      </w:pPr>
      <w:r w:rsidDel="00000000" w:rsidR="00000000" w:rsidRPr="00000000">
        <w:rPr>
          <w:rFonts w:ascii="Arial" w:cs="Arial" w:eastAsia="Arial" w:hAnsi="Arial"/>
          <w:rtl w:val="0"/>
        </w:rPr>
        <w:t xml:space="preserve">População em Estudo e Amostragem  </w:t>
      </w:r>
    </w:p>
    <w:p w:rsidR="00000000" w:rsidDel="00000000" w:rsidP="00000000" w:rsidRDefault="00000000" w:rsidRPr="00000000" w14:paraId="0000001A">
      <w:pPr>
        <w:spacing w:line="360" w:lineRule="auto"/>
        <w:jc w:val="both"/>
        <w:rPr>
          <w:rFonts w:ascii="Arial" w:cs="Arial" w:eastAsia="Arial" w:hAnsi="Arial"/>
        </w:rPr>
      </w:pPr>
      <w:r w:rsidDel="00000000" w:rsidR="00000000" w:rsidRPr="00000000">
        <w:rPr>
          <w:rFonts w:ascii="Arial" w:cs="Arial" w:eastAsia="Arial" w:hAnsi="Arial"/>
          <w:rtl w:val="0"/>
        </w:rPr>
        <w:t xml:space="preserve">Foram avaliados pacientes de ambos os sexos e variadas idades que tenham realizado cirurgia bariátrica no HNSC, e que tenham realizado acompanhamento com equipe médica em um período de seis meses após o procedimento. A amostra foi composta por 53 pacientes registrados em prontuários que realizaram a cirurgia no HNSC no período citado anteriormente. Foi estabelecida a partir do acompanhamento com equipe médica responsável, e com dados fornecidos pelo Hospital. </w:t>
      </w:r>
    </w:p>
    <w:p w:rsidR="00000000" w:rsidDel="00000000" w:rsidP="00000000" w:rsidRDefault="00000000" w:rsidRPr="00000000" w14:paraId="0000001B">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spacing w:line="360" w:lineRule="auto"/>
        <w:jc w:val="both"/>
        <w:rPr>
          <w:rFonts w:ascii="Arial" w:cs="Arial" w:eastAsia="Arial" w:hAnsi="Arial"/>
        </w:rPr>
      </w:pPr>
      <w:r w:rsidDel="00000000" w:rsidR="00000000" w:rsidRPr="00000000">
        <w:rPr>
          <w:rFonts w:ascii="Arial" w:cs="Arial" w:eastAsia="Arial" w:hAnsi="Arial"/>
          <w:rtl w:val="0"/>
        </w:rPr>
        <w:t xml:space="preserve">Critérios de inclusão e exclusão  </w:t>
      </w:r>
    </w:p>
    <w:p w:rsidR="00000000" w:rsidDel="00000000" w:rsidP="00000000" w:rsidRDefault="00000000" w:rsidRPr="00000000" w14:paraId="0000001D">
      <w:pPr>
        <w:spacing w:line="360" w:lineRule="auto"/>
        <w:jc w:val="both"/>
        <w:rPr>
          <w:rFonts w:ascii="Arial" w:cs="Arial" w:eastAsia="Arial" w:hAnsi="Arial"/>
        </w:rPr>
      </w:pPr>
      <w:r w:rsidDel="00000000" w:rsidR="00000000" w:rsidRPr="00000000">
        <w:rPr>
          <w:rFonts w:ascii="Arial" w:cs="Arial" w:eastAsia="Arial" w:hAnsi="Arial"/>
          <w:rtl w:val="0"/>
        </w:rPr>
        <w:t xml:space="preserve">Foram incluídos no presente estudo, pacientes que realizaram cirurgia bariátrica no HNSC no ano de 2021 até 2024 e que compareceram às consultas com equipe médica responsável após o procedimento durante os primeiros seis meses. Foram excluídos do estudo pacientes cujos dados do prontuário estejam incompletos ou insuficientes (sem presença de peso, altura, IMC, idade ou sexo) para responder aos objetivos do estudo.</w:t>
      </w:r>
    </w:p>
    <w:p w:rsidR="00000000" w:rsidDel="00000000" w:rsidP="00000000" w:rsidRDefault="00000000" w:rsidRPr="00000000" w14:paraId="0000001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line="360" w:lineRule="auto"/>
        <w:jc w:val="both"/>
        <w:rPr>
          <w:rFonts w:ascii="Arial" w:cs="Arial" w:eastAsia="Arial" w:hAnsi="Arial"/>
        </w:rPr>
      </w:pPr>
      <w:r w:rsidDel="00000000" w:rsidR="00000000" w:rsidRPr="00000000">
        <w:rPr>
          <w:rFonts w:ascii="Arial" w:cs="Arial" w:eastAsia="Arial" w:hAnsi="Arial"/>
          <w:rtl w:val="0"/>
        </w:rPr>
        <w:t xml:space="preserve">Métodos de Coleta de Dados </w:t>
      </w:r>
    </w:p>
    <w:p w:rsidR="00000000" w:rsidDel="00000000" w:rsidP="00000000" w:rsidRDefault="00000000" w:rsidRPr="00000000" w14:paraId="00000020">
      <w:pPr>
        <w:spacing w:line="360" w:lineRule="auto"/>
        <w:jc w:val="both"/>
        <w:rPr>
          <w:rFonts w:ascii="Arial" w:cs="Arial" w:eastAsia="Arial" w:hAnsi="Arial"/>
        </w:rPr>
      </w:pPr>
      <w:r w:rsidDel="00000000" w:rsidR="00000000" w:rsidRPr="00000000">
        <w:rPr>
          <w:rFonts w:ascii="Arial" w:cs="Arial" w:eastAsia="Arial" w:hAnsi="Arial"/>
          <w:rtl w:val="0"/>
        </w:rPr>
        <w:t xml:space="preserve">Os dados foram coletados através da análise de prontuários dos pacientes que foram submetidos ao procedimento cirúrgico no período referido. Eles foram disponibilizados pela equipe médica responsável e pelos profissionais do HNSC.</w:t>
      </w:r>
    </w:p>
    <w:p w:rsidR="00000000" w:rsidDel="00000000" w:rsidP="00000000" w:rsidRDefault="00000000" w:rsidRPr="00000000" w14:paraId="0000002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line="360" w:lineRule="auto"/>
        <w:jc w:val="both"/>
        <w:rPr>
          <w:rFonts w:ascii="Arial" w:cs="Arial" w:eastAsia="Arial" w:hAnsi="Arial"/>
        </w:rPr>
      </w:pPr>
      <w:r w:rsidDel="00000000" w:rsidR="00000000" w:rsidRPr="00000000">
        <w:rPr>
          <w:rFonts w:ascii="Arial" w:cs="Arial" w:eastAsia="Arial" w:hAnsi="Arial"/>
          <w:rtl w:val="0"/>
        </w:rPr>
        <w:t xml:space="preserve">Variáveis  </w:t>
      </w:r>
    </w:p>
    <w:p w:rsidR="00000000" w:rsidDel="00000000" w:rsidP="00000000" w:rsidRDefault="00000000" w:rsidRPr="00000000" w14:paraId="00000023">
      <w:pPr>
        <w:spacing w:line="360" w:lineRule="auto"/>
        <w:jc w:val="both"/>
        <w:rPr>
          <w:rFonts w:ascii="Arial" w:cs="Arial" w:eastAsia="Arial" w:hAnsi="Arial"/>
        </w:rPr>
      </w:pPr>
      <w:r w:rsidDel="00000000" w:rsidR="00000000" w:rsidRPr="00000000">
        <w:rPr>
          <w:rFonts w:ascii="Arial" w:cs="Arial" w:eastAsia="Arial" w:hAnsi="Arial"/>
          <w:rtl w:val="0"/>
        </w:rPr>
        <w:t xml:space="preserve">As variáveis epidemiológicas analisadas foram: sexo, idade e técnica cirúrgica utilizada.</w:t>
        <w:br w:type="textWrapping"/>
        <w:t xml:space="preserve">As variáveis clínicas estudadas incluem: Peso antes e depois da cirurgia, IMC pré e pós operatório, Dislipidemia antes e depois da cirurgia, HAS antes e depois da cirurgia, DM antes e depois da cirurgia, Esteatose hepática não alcoólica antes e depois da cirurgia. </w:t>
      </w:r>
    </w:p>
    <w:p w:rsidR="00000000" w:rsidDel="00000000" w:rsidP="00000000" w:rsidRDefault="00000000" w:rsidRPr="00000000" w14:paraId="0000002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line="360" w:lineRule="auto"/>
        <w:jc w:val="both"/>
        <w:rPr>
          <w:rFonts w:ascii="Arial" w:cs="Arial" w:eastAsia="Arial" w:hAnsi="Arial"/>
        </w:rPr>
      </w:pPr>
      <w:r w:rsidDel="00000000" w:rsidR="00000000" w:rsidRPr="00000000">
        <w:rPr>
          <w:rFonts w:ascii="Arial" w:cs="Arial" w:eastAsia="Arial" w:hAnsi="Arial"/>
          <w:rtl w:val="0"/>
        </w:rPr>
        <w:t xml:space="preserve">Aspectos Éticos  </w:t>
      </w:r>
    </w:p>
    <w:p w:rsidR="00000000" w:rsidDel="00000000" w:rsidP="00000000" w:rsidRDefault="00000000" w:rsidRPr="00000000" w14:paraId="00000027">
      <w:pPr>
        <w:spacing w:line="360" w:lineRule="auto"/>
        <w:jc w:val="both"/>
        <w:rPr>
          <w:rFonts w:ascii="Arial" w:cs="Arial" w:eastAsia="Arial" w:hAnsi="Arial"/>
        </w:rPr>
      </w:pPr>
      <w:r w:rsidDel="00000000" w:rsidR="00000000" w:rsidRPr="00000000">
        <w:rPr>
          <w:rFonts w:ascii="Arial" w:cs="Arial" w:eastAsia="Arial" w:hAnsi="Arial"/>
          <w:rtl w:val="0"/>
        </w:rPr>
        <w:t xml:space="preserve">O estudo foi submetido ao comitê de ética em pesquisa (CEP) da Unisul e segue as diretrizes e normas regulamentadoras de pesquisa envolvendo seres humanos, propostas pela resolução n</w:t>
      </w:r>
      <w:r w:rsidDel="00000000" w:rsidR="00000000" w:rsidRPr="00000000">
        <w:rPr>
          <w:rFonts w:ascii="Arial" w:cs="Arial" w:eastAsia="Arial" w:hAnsi="Arial"/>
          <w:vertAlign w:val="superscript"/>
          <w:rtl w:val="0"/>
        </w:rPr>
        <w:t xml:space="preserve">o</w:t>
      </w:r>
      <w:r w:rsidDel="00000000" w:rsidR="00000000" w:rsidRPr="00000000">
        <w:rPr>
          <w:rFonts w:ascii="Arial" w:cs="Arial" w:eastAsia="Arial" w:hAnsi="Arial"/>
          <w:rtl w:val="0"/>
        </w:rPr>
        <w:t xml:space="preserve"> 466/2012 do Conselho Nacional de Saúde. Aprovada pelo comitê de ética em pesquisa (CEP), conforme número do protocolo: 5.918.319 emitido através da Plataforma Brasil, em março de 2023. </w:t>
      </w:r>
    </w:p>
    <w:p w:rsidR="00000000" w:rsidDel="00000000" w:rsidP="00000000" w:rsidRDefault="00000000" w:rsidRPr="00000000" w14:paraId="0000002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9">
      <w:pPr>
        <w:spacing w:line="360" w:lineRule="auto"/>
        <w:jc w:val="both"/>
        <w:rPr>
          <w:rFonts w:ascii="Arial" w:cs="Arial" w:eastAsia="Arial" w:hAnsi="Arial"/>
        </w:rPr>
      </w:pPr>
      <w:r w:rsidDel="00000000" w:rsidR="00000000" w:rsidRPr="00000000">
        <w:rPr>
          <w:rFonts w:ascii="Arial" w:cs="Arial" w:eastAsia="Arial" w:hAnsi="Arial"/>
          <w:rtl w:val="0"/>
        </w:rPr>
        <w:t xml:space="preserve">Métodos de Processamento e Análise dos Dados   </w:t>
      </w:r>
    </w:p>
    <w:p w:rsidR="00000000" w:rsidDel="00000000" w:rsidP="00000000" w:rsidRDefault="00000000" w:rsidRPr="00000000" w14:paraId="0000002A">
      <w:pPr>
        <w:spacing w:line="360" w:lineRule="auto"/>
        <w:jc w:val="both"/>
        <w:rPr>
          <w:rFonts w:ascii="Arial" w:cs="Arial" w:eastAsia="Arial" w:hAnsi="Arial"/>
        </w:rPr>
      </w:pPr>
      <w:r w:rsidDel="00000000" w:rsidR="00000000" w:rsidRPr="00000000">
        <w:rPr>
          <w:rFonts w:ascii="Arial" w:cs="Arial" w:eastAsia="Arial" w:hAnsi="Arial"/>
          <w:rtl w:val="0"/>
        </w:rPr>
        <w:t xml:space="preserve">Os dados foram organizados e analisados no software SPSS 21. As variáveis quantitativas foram descritas por meio de medidas de tendência central e dispersão dos dados. As variáveis qualitativas foram descritas por meio de frequência absoluta e percentual. As diferenças nas proporções foram testadas pelo teste de Qui-quadrado (X2). O nível de significância estatística adotado foi de 5% (valor de p &lt; 0,05).</w:t>
      </w:r>
    </w:p>
    <w:p w:rsidR="00000000" w:rsidDel="00000000" w:rsidP="00000000" w:rsidRDefault="00000000" w:rsidRPr="00000000" w14:paraId="0000002B">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C">
      <w:pPr>
        <w:spacing w:line="360" w:lineRule="auto"/>
        <w:rPr>
          <w:rFonts w:ascii="Arial" w:cs="Arial" w:eastAsia="Arial" w:hAnsi="Arial"/>
        </w:rPr>
      </w:pPr>
      <w:r w:rsidDel="00000000" w:rsidR="00000000" w:rsidRPr="00000000">
        <w:rPr>
          <w:rFonts w:ascii="Arial" w:cs="Arial" w:eastAsia="Arial" w:hAnsi="Arial"/>
          <w:b w:val="1"/>
          <w:rtl w:val="0"/>
        </w:rPr>
        <w:t xml:space="preserve">RESULTADOS E DISCUSSÕES:</w:t>
      </w:r>
      <w:r w:rsidDel="00000000" w:rsidR="00000000" w:rsidRPr="00000000">
        <w:rPr>
          <w:rFonts w:ascii="Arial" w:cs="Arial" w:eastAsia="Arial" w:hAnsi="Arial"/>
          <w:rtl w:val="0"/>
        </w:rPr>
        <w:t xml:space="preserve"> </w:t>
      </w:r>
    </w:p>
    <w:p w:rsidR="00000000" w:rsidDel="00000000" w:rsidP="00000000" w:rsidRDefault="00000000" w:rsidRPr="00000000" w14:paraId="0000002D">
      <w:pPr>
        <w:spacing w:line="360" w:lineRule="auto"/>
        <w:jc w:val="both"/>
        <w:rPr>
          <w:rFonts w:ascii="Arial" w:cs="Arial" w:eastAsia="Arial" w:hAnsi="Arial"/>
        </w:rPr>
      </w:pPr>
      <w:r w:rsidDel="00000000" w:rsidR="00000000" w:rsidRPr="00000000">
        <w:rPr>
          <w:rFonts w:ascii="Arial" w:cs="Arial" w:eastAsia="Arial" w:hAnsi="Arial"/>
          <w:rtl w:val="0"/>
        </w:rPr>
        <w:t xml:space="preserve">Foram avaliados 63 pacientes neste estudo, com exclusão de 10 por falta de dados suficientes nos prontuários. Entre os 53 analisados, 43 eram do sexo feminino e 10 do masculino, com idade média de 38,3 anos. O IMC e o peso médio no momento da cirurgia foram de 40,17 kg/m² e 109,05 kg, respectivamente. Após seis meses de acompanhamento, o IMC médio reduziu para 27,5 kg/m² e o peso médio para 74,87 kg, evidenciando uma perda significativa.</w:t>
      </w:r>
    </w:p>
    <w:p w:rsidR="00000000" w:rsidDel="00000000" w:rsidP="00000000" w:rsidRDefault="00000000" w:rsidRPr="00000000" w14:paraId="0000002E">
      <w:pPr>
        <w:spacing w:line="360" w:lineRule="auto"/>
        <w:jc w:val="both"/>
        <w:rPr>
          <w:rFonts w:ascii="Arial" w:cs="Arial" w:eastAsia="Arial" w:hAnsi="Arial"/>
        </w:rPr>
      </w:pPr>
      <w:r w:rsidDel="00000000" w:rsidR="00000000" w:rsidRPr="00000000">
        <w:rPr>
          <w:rFonts w:ascii="Arial" w:cs="Arial" w:eastAsia="Arial" w:hAnsi="Arial"/>
          <w:rtl w:val="0"/>
        </w:rPr>
        <w:t xml:space="preserve">As comorbidades mais prevalentes antes do procedimento foram hipertensão arterial sistêmica (39,6%), esteatose hepática não alcoólica (33,9%), dislipidemia (26,4%) e diabetes mellitus (24,5%), com melhora em praticamente todos os casos. Foram observadas curas completas em 11 hipertensos, 14 pacientes com esteatose, 10 com dislipidemia e 7 diabéticos.</w:t>
      </w:r>
    </w:p>
    <w:p w:rsidR="00000000" w:rsidDel="00000000" w:rsidP="00000000" w:rsidRDefault="00000000" w:rsidRPr="00000000" w14:paraId="0000002F">
      <w:pPr>
        <w:spacing w:line="360" w:lineRule="auto"/>
        <w:jc w:val="both"/>
        <w:rPr>
          <w:rFonts w:ascii="Arial" w:cs="Arial" w:eastAsia="Arial" w:hAnsi="Arial"/>
        </w:rPr>
      </w:pPr>
      <w:r w:rsidDel="00000000" w:rsidR="00000000" w:rsidRPr="00000000">
        <w:rPr>
          <w:rFonts w:ascii="Arial" w:cs="Arial" w:eastAsia="Arial" w:hAnsi="Arial"/>
          <w:rtl w:val="0"/>
        </w:rPr>
        <w:t xml:space="preserve">Entre as complicações tardias, 39 pacientes apresentaram 57 relatos de eventos, sendo a mais comum o dumping, com 13 casos. Entretanto, 18 pacientes não sofreram complicações.</w:t>
      </w:r>
    </w:p>
    <w:p w:rsidR="00000000" w:rsidDel="00000000" w:rsidP="00000000" w:rsidRDefault="00000000" w:rsidRPr="00000000" w14:paraId="00000030">
      <w:pPr>
        <w:spacing w:line="360" w:lineRule="auto"/>
        <w:jc w:val="both"/>
        <w:rPr>
          <w:rFonts w:ascii="Arial" w:cs="Arial" w:eastAsia="Arial" w:hAnsi="Arial"/>
        </w:rPr>
      </w:pPr>
      <w:r w:rsidDel="00000000" w:rsidR="00000000" w:rsidRPr="00000000">
        <w:rPr>
          <w:rFonts w:ascii="Arial" w:cs="Arial" w:eastAsia="Arial" w:hAnsi="Arial"/>
          <w:rtl w:val="0"/>
        </w:rPr>
        <w:t xml:space="preserve">Este estudo destacou dois aspectos principais: a melhora nas comorbidades pré-existentes e a expressiva perda de peso no período avaliado. Contribuiu, assim, para compreender o perfil dos pacientes submetidos à cirurgia bariátrica e a relação entre suas características e complicações, fornecendo subsídios para aperfeiçoar métodos de diagnóstico, prevenção e tratamento nas práticas de saúde.</w:t>
      </w:r>
    </w:p>
    <w:p w:rsidR="00000000" w:rsidDel="00000000" w:rsidP="00000000" w:rsidRDefault="00000000" w:rsidRPr="00000000" w14:paraId="00000031">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2">
      <w:pPr>
        <w:spacing w:line="360" w:lineRule="auto"/>
        <w:rPr>
          <w:rFonts w:ascii="Arial" w:cs="Arial" w:eastAsia="Arial" w:hAnsi="Arial"/>
        </w:rPr>
      </w:pPr>
      <w:r w:rsidDel="00000000" w:rsidR="00000000" w:rsidRPr="00000000">
        <w:rPr>
          <w:rFonts w:ascii="Arial" w:cs="Arial" w:eastAsia="Arial" w:hAnsi="Arial"/>
          <w:b w:val="1"/>
          <w:rtl w:val="0"/>
        </w:rPr>
        <w:t xml:space="preserve">CONCLUSÕES:</w:t>
      </w:r>
      <w:r w:rsidDel="00000000" w:rsidR="00000000" w:rsidRPr="00000000">
        <w:rPr>
          <w:rFonts w:ascii="Arial" w:cs="Arial" w:eastAsia="Arial" w:hAnsi="Arial"/>
          <w:rtl w:val="0"/>
        </w:rPr>
        <w:t xml:space="preserve"> </w:t>
      </w:r>
    </w:p>
    <w:p w:rsidR="00000000" w:rsidDel="00000000" w:rsidP="00000000" w:rsidRDefault="00000000" w:rsidRPr="00000000" w14:paraId="00000033">
      <w:pPr>
        <w:spacing w:line="360" w:lineRule="auto"/>
        <w:jc w:val="both"/>
        <w:rPr>
          <w:rFonts w:ascii="Arial" w:cs="Arial" w:eastAsia="Arial" w:hAnsi="Arial"/>
        </w:rPr>
      </w:pPr>
      <w:r w:rsidDel="00000000" w:rsidR="00000000" w:rsidRPr="00000000">
        <w:rPr>
          <w:rFonts w:ascii="Arial" w:cs="Arial" w:eastAsia="Arial" w:hAnsi="Arial"/>
          <w:rtl w:val="0"/>
        </w:rPr>
        <w:t xml:space="preserve">Conseguimos aferir no estudo atual, que os pacientes apresentaram uma melhora significativa em suas comorbidades, bem como, uma redução considerável em seu peso corporal. </w:t>
      </w:r>
    </w:p>
    <w:p w:rsidR="00000000" w:rsidDel="00000000" w:rsidP="00000000" w:rsidRDefault="00000000" w:rsidRPr="00000000" w14:paraId="00000034">
      <w:pPr>
        <w:spacing w:line="360" w:lineRule="auto"/>
        <w:jc w:val="both"/>
        <w:rPr>
          <w:rFonts w:ascii="Arial" w:cs="Arial" w:eastAsia="Arial" w:hAnsi="Arial"/>
        </w:rPr>
      </w:pPr>
      <w:r w:rsidDel="00000000" w:rsidR="00000000" w:rsidRPr="00000000">
        <w:rPr>
          <w:rFonts w:ascii="Arial" w:cs="Arial" w:eastAsia="Arial" w:hAnsi="Arial"/>
          <w:rtl w:val="0"/>
        </w:rPr>
        <w:t xml:space="preserve">Com esses pontos que foram observados, torna-se indiscutível a eficiência da cirurgia bariátrica como uma solução para a obesidade e indiretamente sanando também comorbidades que tenham envolvimento com a doença, no entanto,  obtivemos uma visão das possíveis complicações que o procedimento pode desenvolver, e com isso, orientar tanto os pacientes sobre os riscos de realizá-lo, não banalizando o fato de tratar-se de um procedimento cirúrgico, quanto os profissionais que irão acompanhar o pós-operatório, para prevenir ou tratá-las o mais breve possível.</w:t>
      </w:r>
    </w:p>
    <w:p w:rsidR="00000000" w:rsidDel="00000000" w:rsidP="00000000" w:rsidRDefault="00000000" w:rsidRPr="00000000" w14:paraId="00000035">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6">
      <w:pPr>
        <w:spacing w:line="360" w:lineRule="auto"/>
        <w:rPr>
          <w:rFonts w:ascii="Arial" w:cs="Arial" w:eastAsia="Arial" w:hAnsi="Arial"/>
        </w:rPr>
      </w:pPr>
      <w:r w:rsidDel="00000000" w:rsidR="00000000" w:rsidRPr="00000000">
        <w:rPr>
          <w:rFonts w:ascii="Arial" w:cs="Arial" w:eastAsia="Arial" w:hAnsi="Arial"/>
          <w:b w:val="1"/>
          <w:rtl w:val="0"/>
        </w:rPr>
        <w:t xml:space="preserve">REFERÊNCIAS:</w:t>
      </w:r>
      <w:r w:rsidDel="00000000" w:rsidR="00000000" w:rsidRPr="00000000">
        <w:rPr>
          <w:rFonts w:ascii="Arial" w:cs="Arial" w:eastAsia="Arial" w:hAnsi="Arial"/>
          <w:rtl w:val="0"/>
        </w:rPr>
        <w:t xml:space="preserve">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Mohapatra S, Gangadharan K, Pitchumoni CS. Malnutrition in obesity before and after bariatric surgery. Disease-a-Month. 2020 Feb;66(2):100866.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Oliveira LPM de, Queiroz VA de O, Silva M da CM da, Pitangueira JCD, Costa PR de F, Demétrio F, et al. Índice de massa corporal obtido por medidas autorreferidas para a classificação do estado antropométrico de adultos: estudo de validação com residentes no município de Salvador, estado da Bahia, Brasil. Epidemiologia e Serviços de Saúde [Internet]. ​2012 ​Jun ​[cited ​2023 ​Oct ​17];21(2):325–32. ​Available ​from: http://scielo.iec.pa.gov.br/scielo.php?script=sci_arttext&amp;pid=S1679-49742012000200015&amp;lng=en&amp;nrm=iso&amp;tlng=en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Ilias EJ, Castro OAP, Kassab P. Cirurgia bariátrica para adolescentes muito obesos. Rev Assoc Med Bras. 2004;50(1):2–3.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Ciência R, Saúde &amp;, Alegre P. ARTIGO DE REVISÃO Técnicas em cirurgia bariátrica: uma revisão da literatura Bariatric surgery techniques: a literature review. [cited 2023 Oct 16];(2):132–40. Available from: http://www.sbcb.org.br/cbariatrica.asp?menu=1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Kortchmar E, Merighi MAB, Conz CA, De Jesus MCP, De Oliveira DM. Reganho de peso após a cirurgia bariátrica: um enfoque da fenomenologia social. Acta Paulista de Enfermagem [Internet]. 2018 Jul 1 [cited 2023 Oct16];31(4):417–22. Available from: https://www.scielo.br/j/ape/a/5zSPRMygkJLTFvBf4ZwjDHr/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Gamba FP, Siqueira BS, Tsuchiya RS, Tanaka TM, Grassiolli S. Impact of Roux-en-Y Gastric Bypass andVertical Gastrectomy on weight loss: a retrospective andlongitudinal study in the State of Paraná, Brazil. Rev ColBras Cir [Internet]. 2023 [cited 2023 Oct 16];50. Availablefrom: https://pubmed.ncbi.nlm.nih.gov/36790229/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Bordalo LA, Sales Teixeira TF, Bressan J, Mourão DM. Cirurgia bariátrica: como e por que suplementar. Rev AssocMed Bras. 2011 Jan;57(1):113–20.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Tack J, Deloose E. Complications of bariatric surgery: Dumping syndrome, reflux and vitamin deficiencies. Best Pract Res Clin Gastroenterol. 2014 Aug;28(4):741–9.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Loss AB, Souza AAP de, Pitombo CA, Milcent M, Madureira FAV. Avaliação da síndrome de dumping em pacientes obesos mórbidos submetidos à operação de bypassgástrico com reconstrução em Y de Roux. Rev Col Bras Cir. 2009 Oct;36(5):413–9.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Thaher O, Tallak W, Hukauf M, Stroh C. Outcome ofSleeve Gastrectomy Versus Roux-en- Y Gastric Bypass for Patients with Super Obesity (Body Mass Index &gt; 50 kg/m). Obes Surg. 2022 May;32(5):1546-1555. doi: 10.1007/s11695-022-05965-6. Epub 2022 Feb 17. PMID: 35175541.2</w:t>
      </w:r>
    </w:p>
    <w:p w:rsidR="00000000" w:rsidDel="00000000" w:rsidP="00000000" w:rsidRDefault="00000000" w:rsidRPr="00000000" w14:paraId="0000004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2">
      <w:pPr>
        <w:jc w:val="both"/>
        <w:rPr>
          <w:rFonts w:ascii="Arial" w:cs="Arial" w:eastAsia="Arial" w:hAnsi="Arial"/>
          <w:b w:val="1"/>
        </w:rPr>
      </w:pPr>
      <w:r w:rsidDel="00000000" w:rsidR="00000000" w:rsidRPr="00000000">
        <w:rPr>
          <w:rFonts w:ascii="Arial" w:cs="Arial" w:eastAsia="Arial" w:hAnsi="Arial"/>
          <w:b w:val="1"/>
          <w:rtl w:val="0"/>
        </w:rPr>
        <w:t xml:space="preserve">FOMENTO</w:t>
      </w:r>
    </w:p>
    <w:p w:rsidR="00000000" w:rsidDel="00000000" w:rsidP="00000000" w:rsidRDefault="00000000" w:rsidRPr="00000000" w14:paraId="00000043">
      <w:pPr>
        <w:jc w:val="both"/>
        <w:rPr/>
      </w:pPr>
      <w:r w:rsidDel="00000000" w:rsidR="00000000" w:rsidRPr="00000000">
        <w:rPr>
          <w:rFonts w:ascii="Arial" w:cs="Arial" w:eastAsia="Arial" w:hAnsi="Arial"/>
          <w:rtl w:val="0"/>
        </w:rPr>
        <w:t xml:space="preserve">O trabalho sem financiamento e aprovado pelo Pró Ciência</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592695" cy="828675"/>
          <wp:effectExtent b="0" l="0" r="0" t="0"/>
          <wp:wrapSquare wrapText="bothSides" distB="0" distT="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92695" cy="82867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page">
            <wp:align>right</wp:align>
          </wp:positionH>
          <wp:positionV relativeFrom="page">
            <wp:align>top</wp:align>
          </wp:positionV>
          <wp:extent cx="7553325" cy="1593030"/>
          <wp:effectExtent b="0" l="0" r="0" t="0"/>
          <wp:wrapSquare wrapText="bothSides" distB="0" distT="0" distL="114300" distR="114300"/>
          <wp:docPr descr="Interface gráfica do usuário&#10;&#10;Descrição gerada automaticamente" id="2" name="image1.jpg"/>
          <a:graphic>
            <a:graphicData uri="http://schemas.openxmlformats.org/drawingml/2006/picture">
              <pic:pic>
                <pic:nvPicPr>
                  <pic:cNvPr descr="Interface gráfica do usuário&#10;&#10;Descrição gerada automaticamente" id="0" name="image1.jpg"/>
                  <pic:cNvPicPr preferRelativeResize="0"/>
                </pic:nvPicPr>
                <pic:blipFill>
                  <a:blip r:embed="rId1"/>
                  <a:srcRect b="0" l="0" r="0" t="0"/>
                  <a:stretch>
                    <a:fillRect/>
                  </a:stretch>
                </pic:blipFill>
                <pic:spPr>
                  <a:xfrm>
                    <a:off x="0" y="0"/>
                    <a:ext cx="7553325" cy="159303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