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6768A" w14:textId="77777777" w:rsidR="00091C11" w:rsidRDefault="00000000">
      <w:pPr>
        <w:spacing w:line="360" w:lineRule="auto"/>
        <w:jc w:val="center"/>
        <w:rPr>
          <w:sz w:val="24"/>
          <w:szCs w:val="24"/>
        </w:rPr>
      </w:pPr>
      <w:r>
        <w:rPr>
          <w:sz w:val="24"/>
          <w:szCs w:val="24"/>
        </w:rPr>
        <w:t>Surto de Toxoplasmose humana em Santa Maria, ano 2018: aumento da soroprevalência de gatos domésticos</w:t>
      </w:r>
    </w:p>
    <w:p w14:paraId="3B3E758F" w14:textId="77777777" w:rsidR="00091C11" w:rsidRDefault="00091C11">
      <w:pPr>
        <w:spacing w:line="360" w:lineRule="auto"/>
        <w:jc w:val="center"/>
        <w:rPr>
          <w:sz w:val="24"/>
          <w:szCs w:val="24"/>
        </w:rPr>
      </w:pPr>
    </w:p>
    <w:p w14:paraId="6630B83A" w14:textId="130B2FBF" w:rsidR="00091C11" w:rsidRDefault="00422AC9" w:rsidP="00E9418B">
      <w:pPr>
        <w:spacing w:line="360" w:lineRule="auto"/>
        <w:jc w:val="center"/>
        <w:rPr>
          <w:sz w:val="24"/>
          <w:szCs w:val="24"/>
        </w:rPr>
      </w:pPr>
      <w:r w:rsidRPr="00422AC9">
        <w:rPr>
          <w:sz w:val="24"/>
          <w:szCs w:val="24"/>
        </w:rPr>
        <w:t xml:space="preserve">Ana Júlia </w:t>
      </w:r>
      <w:proofErr w:type="spellStart"/>
      <w:r w:rsidRPr="00422AC9">
        <w:rPr>
          <w:sz w:val="24"/>
          <w:szCs w:val="24"/>
        </w:rPr>
        <w:t>Dalchiavon</w:t>
      </w:r>
      <w:proofErr w:type="spellEnd"/>
      <w:r w:rsidRPr="00422AC9">
        <w:rPr>
          <w:sz w:val="24"/>
          <w:szCs w:val="24"/>
        </w:rPr>
        <w:t xml:space="preserve"> Alves</w:t>
      </w:r>
      <w:r>
        <w:rPr>
          <w:sz w:val="24"/>
          <w:szCs w:val="24"/>
          <w:vertAlign w:val="superscript"/>
        </w:rPr>
        <w:t>1</w:t>
      </w:r>
      <w:r>
        <w:rPr>
          <w:sz w:val="24"/>
          <w:szCs w:val="24"/>
        </w:rPr>
        <w:t>, Ana Carolina Santana</w:t>
      </w:r>
      <w:r>
        <w:rPr>
          <w:sz w:val="24"/>
          <w:szCs w:val="24"/>
          <w:vertAlign w:val="superscript"/>
        </w:rPr>
        <w:t>2</w:t>
      </w:r>
      <w:r>
        <w:rPr>
          <w:sz w:val="24"/>
          <w:szCs w:val="24"/>
        </w:rPr>
        <w:t xml:space="preserve">, </w:t>
      </w:r>
      <w:r w:rsidR="00E9418B" w:rsidRPr="00E9418B">
        <w:rPr>
          <w:sz w:val="24"/>
          <w:szCs w:val="24"/>
        </w:rPr>
        <w:t>Fagner D'ambroso Fernandes</w:t>
      </w:r>
      <w:r>
        <w:rPr>
          <w:sz w:val="24"/>
          <w:szCs w:val="24"/>
          <w:vertAlign w:val="superscript"/>
        </w:rPr>
        <w:t>3</w:t>
      </w:r>
      <w:r w:rsidR="003C6F9F">
        <w:rPr>
          <w:sz w:val="24"/>
          <w:szCs w:val="24"/>
          <w:vertAlign w:val="superscript"/>
        </w:rPr>
        <w:t xml:space="preserve"> </w:t>
      </w:r>
      <w:r w:rsidR="003C6F9F" w:rsidRPr="003C6F9F">
        <w:rPr>
          <w:sz w:val="24"/>
          <w:szCs w:val="24"/>
        </w:rPr>
        <w:t>(Dr.)</w:t>
      </w:r>
    </w:p>
    <w:p w14:paraId="3D1C4AF0" w14:textId="77777777" w:rsidR="003C6F9F" w:rsidRDefault="003C6F9F">
      <w:pPr>
        <w:spacing w:line="360" w:lineRule="auto"/>
        <w:jc w:val="center"/>
        <w:rPr>
          <w:sz w:val="24"/>
          <w:szCs w:val="24"/>
        </w:rPr>
      </w:pPr>
    </w:p>
    <w:p w14:paraId="4F293F65" w14:textId="6FBADA11" w:rsidR="003C6F9F" w:rsidRDefault="003C6F9F" w:rsidP="003C6F9F">
      <w:pPr>
        <w:spacing w:line="240" w:lineRule="auto"/>
        <w:jc w:val="both"/>
        <w:rPr>
          <w:sz w:val="24"/>
          <w:szCs w:val="24"/>
        </w:rPr>
      </w:pPr>
      <w:r w:rsidRPr="003C6F9F">
        <w:rPr>
          <w:sz w:val="24"/>
          <w:szCs w:val="24"/>
          <w:vertAlign w:val="superscript"/>
        </w:rPr>
        <w:t>1</w:t>
      </w:r>
      <w:r>
        <w:rPr>
          <w:sz w:val="24"/>
          <w:szCs w:val="24"/>
        </w:rPr>
        <w:t>Discente do curso de Medicina Veterinária do Centro Universitário Ritter dos Reis- UniRitter. E-mail:</w:t>
      </w:r>
      <w:r w:rsidRPr="003C6F9F">
        <w:t xml:space="preserve"> </w:t>
      </w:r>
      <w:r w:rsidRPr="003C6F9F">
        <w:rPr>
          <w:sz w:val="24"/>
          <w:szCs w:val="24"/>
        </w:rPr>
        <w:t>anaju.dalves@gmail.com</w:t>
      </w:r>
    </w:p>
    <w:p w14:paraId="689F78DB" w14:textId="6E4CB755" w:rsidR="003C6F9F" w:rsidRDefault="003C6F9F" w:rsidP="003C6F9F">
      <w:pPr>
        <w:spacing w:line="240" w:lineRule="auto"/>
        <w:jc w:val="both"/>
        <w:rPr>
          <w:sz w:val="24"/>
          <w:szCs w:val="24"/>
        </w:rPr>
      </w:pPr>
      <w:r w:rsidRPr="003C6F9F">
        <w:rPr>
          <w:sz w:val="24"/>
          <w:szCs w:val="24"/>
          <w:vertAlign w:val="superscript"/>
        </w:rPr>
        <w:t>2</w:t>
      </w:r>
      <w:r>
        <w:rPr>
          <w:sz w:val="24"/>
          <w:szCs w:val="24"/>
        </w:rPr>
        <w:t xml:space="preserve">Discente do curso de Medicina Veterinária do Centro Universitário Ritter dos Reis- UniRitter. E-mail: </w:t>
      </w:r>
      <w:r w:rsidRPr="003C6F9F">
        <w:rPr>
          <w:sz w:val="24"/>
          <w:szCs w:val="24"/>
        </w:rPr>
        <w:t>santanaanacarolina98@gmail.com</w:t>
      </w:r>
    </w:p>
    <w:p w14:paraId="76187BA2" w14:textId="10222D25" w:rsidR="00091C11" w:rsidRDefault="003C6F9F" w:rsidP="003C6F9F">
      <w:pPr>
        <w:spacing w:line="240" w:lineRule="auto"/>
        <w:jc w:val="both"/>
        <w:rPr>
          <w:sz w:val="24"/>
          <w:szCs w:val="24"/>
        </w:rPr>
      </w:pPr>
      <w:r w:rsidRPr="003C6F9F">
        <w:rPr>
          <w:sz w:val="24"/>
          <w:szCs w:val="24"/>
          <w:vertAlign w:val="superscript"/>
        </w:rPr>
        <w:t>3</w:t>
      </w:r>
      <w:r>
        <w:rPr>
          <w:sz w:val="24"/>
          <w:szCs w:val="24"/>
        </w:rPr>
        <w:t xml:space="preserve">Docente do Curso de Medicina Veterinária do Centro Universitário Ritter dos Reis e </w:t>
      </w:r>
      <w:proofErr w:type="spellStart"/>
      <w:r>
        <w:rPr>
          <w:sz w:val="24"/>
          <w:szCs w:val="24"/>
        </w:rPr>
        <w:t>Pós-doutorando</w:t>
      </w:r>
      <w:proofErr w:type="spellEnd"/>
      <w:r>
        <w:rPr>
          <w:sz w:val="24"/>
          <w:szCs w:val="24"/>
        </w:rPr>
        <w:t xml:space="preserve"> pela Universidade Federal de Santa Maria. E-mail: fagner.fernandes@animaeducacao.com.br</w:t>
      </w:r>
    </w:p>
    <w:p w14:paraId="1399EDC8" w14:textId="77777777" w:rsidR="003C6F9F" w:rsidRDefault="003C6F9F">
      <w:pPr>
        <w:spacing w:line="360" w:lineRule="auto"/>
        <w:jc w:val="center"/>
        <w:rPr>
          <w:sz w:val="24"/>
          <w:szCs w:val="24"/>
        </w:rPr>
      </w:pPr>
    </w:p>
    <w:p w14:paraId="244BEBA4" w14:textId="1D7EF010" w:rsidR="00091C11" w:rsidRDefault="00000000">
      <w:pPr>
        <w:spacing w:line="360" w:lineRule="auto"/>
        <w:jc w:val="both"/>
        <w:rPr>
          <w:sz w:val="24"/>
          <w:szCs w:val="24"/>
        </w:rPr>
      </w:pPr>
      <w:r>
        <w:rPr>
          <w:sz w:val="24"/>
          <w:szCs w:val="24"/>
        </w:rPr>
        <w:t xml:space="preserve">A toxoplasmose é uma zoonose de distribuição mundial causada pelo protozoário </w:t>
      </w:r>
      <w:r>
        <w:rPr>
          <w:i/>
          <w:sz w:val="24"/>
          <w:szCs w:val="24"/>
        </w:rPr>
        <w:t>Toxoplasma gondii</w:t>
      </w:r>
      <w:r>
        <w:rPr>
          <w:sz w:val="24"/>
          <w:szCs w:val="24"/>
        </w:rPr>
        <w:t xml:space="preserve">, cujos hospedeiros definitivos são os felídeos. Estes animais desempenham um papel crucial na manutenção do parasito, uma vez que excretam oocistos resistentes no ambiente através das fezes após a ingestão de cistos teciduais (maior taxa de excreção de oocistos) e ingestão de oocistos esporulados, principalmente por água contaminada (menor taxa de excreção de oocistos). A sorologia para </w:t>
      </w:r>
      <w:r>
        <w:rPr>
          <w:i/>
          <w:sz w:val="24"/>
          <w:szCs w:val="24"/>
        </w:rPr>
        <w:t>T. gondii</w:t>
      </w:r>
      <w:r>
        <w:rPr>
          <w:sz w:val="24"/>
          <w:szCs w:val="24"/>
        </w:rPr>
        <w:t xml:space="preserve"> permite identificar a presença de anticorpos </w:t>
      </w:r>
      <w:proofErr w:type="spellStart"/>
      <w:r>
        <w:rPr>
          <w:sz w:val="24"/>
          <w:szCs w:val="24"/>
        </w:rPr>
        <w:t>IgM</w:t>
      </w:r>
      <w:proofErr w:type="spellEnd"/>
      <w:r>
        <w:rPr>
          <w:sz w:val="24"/>
          <w:szCs w:val="24"/>
        </w:rPr>
        <w:t xml:space="preserve"> e IgG nos hospedeiros, representando uma valiosa ferramenta para o monitoramento da doença. Dentre as técnicas, a Reação de Imunofluorescência Indireta é utilizada com o objetivo de diagnóstico em pesquisas veterinárias, dentre estas, a caracterização de infecções por </w:t>
      </w:r>
      <w:r>
        <w:rPr>
          <w:i/>
          <w:sz w:val="24"/>
          <w:szCs w:val="24"/>
        </w:rPr>
        <w:t>T. gondii</w:t>
      </w:r>
      <w:r>
        <w:rPr>
          <w:sz w:val="24"/>
          <w:szCs w:val="24"/>
        </w:rPr>
        <w:t xml:space="preserve"> em animais domésticos e silvestres. Em 2018, o maior surto de toxoplasmose humana foi descrito na cidade de Santa Maria. Estudos demonstraram um aumento significativo na taxa de detecção de anticorpos </w:t>
      </w:r>
      <w:proofErr w:type="spellStart"/>
      <w:r>
        <w:rPr>
          <w:sz w:val="24"/>
          <w:szCs w:val="24"/>
        </w:rPr>
        <w:t>anti-IgG</w:t>
      </w:r>
      <w:proofErr w:type="spellEnd"/>
      <w:r>
        <w:rPr>
          <w:sz w:val="24"/>
          <w:szCs w:val="24"/>
        </w:rPr>
        <w:t xml:space="preserve"> em felinos pós- surto, o que reforça o papel desses animais na epidemiologia da doença, assim como a descrição do surto de toxoplasmose humana. O objetivo deste estudo é avaliar a relação entre a idade dos felinos e a taxa de detecção de anticorpos pós-surto, fornecendo dados relevantes para estratégias de controle e prevenção da doença.</w:t>
      </w:r>
    </w:p>
    <w:p w14:paraId="0F9BBABD" w14:textId="77777777" w:rsidR="00091C11" w:rsidRDefault="00091C11">
      <w:pPr>
        <w:spacing w:line="360" w:lineRule="auto"/>
        <w:jc w:val="both"/>
        <w:rPr>
          <w:sz w:val="24"/>
          <w:szCs w:val="24"/>
        </w:rPr>
      </w:pPr>
    </w:p>
    <w:p w14:paraId="64579510" w14:textId="64CC5024" w:rsidR="00091C11" w:rsidRDefault="00000000">
      <w:pPr>
        <w:spacing w:line="360" w:lineRule="auto"/>
        <w:jc w:val="both"/>
        <w:rPr>
          <w:sz w:val="24"/>
          <w:szCs w:val="24"/>
        </w:rPr>
      </w:pPr>
      <w:r>
        <w:rPr>
          <w:sz w:val="24"/>
          <w:szCs w:val="24"/>
        </w:rPr>
        <w:t>Palavras-chave: felinos domésticos, sorologia, Santa Maria.</w:t>
      </w:r>
    </w:p>
    <w:p w14:paraId="0EFE6DB1" w14:textId="77777777" w:rsidR="00091C11" w:rsidRDefault="00091C11">
      <w:pPr>
        <w:spacing w:line="360" w:lineRule="auto"/>
        <w:jc w:val="both"/>
        <w:rPr>
          <w:sz w:val="24"/>
          <w:szCs w:val="24"/>
        </w:rPr>
      </w:pPr>
    </w:p>
    <w:p w14:paraId="51C2E1D6" w14:textId="77777777" w:rsidR="00091C11" w:rsidRDefault="00000000">
      <w:pPr>
        <w:spacing w:line="360" w:lineRule="auto"/>
        <w:jc w:val="both"/>
        <w:rPr>
          <w:sz w:val="24"/>
          <w:szCs w:val="24"/>
        </w:rPr>
      </w:pPr>
      <w:r>
        <w:rPr>
          <w:sz w:val="24"/>
          <w:szCs w:val="24"/>
        </w:rPr>
        <w:t>INTRODUÇÃO</w:t>
      </w:r>
    </w:p>
    <w:p w14:paraId="3C5EB3F9" w14:textId="77777777" w:rsidR="00091C11" w:rsidRDefault="00000000">
      <w:pPr>
        <w:spacing w:line="360" w:lineRule="auto"/>
        <w:jc w:val="both"/>
        <w:rPr>
          <w:sz w:val="24"/>
          <w:szCs w:val="24"/>
        </w:rPr>
      </w:pPr>
      <w:r>
        <w:rPr>
          <w:sz w:val="24"/>
          <w:szCs w:val="24"/>
        </w:rPr>
        <w:lastRenderedPageBreak/>
        <w:t>Gatos domésticos (</w:t>
      </w:r>
      <w:proofErr w:type="spellStart"/>
      <w:r>
        <w:rPr>
          <w:i/>
          <w:sz w:val="24"/>
          <w:szCs w:val="24"/>
        </w:rPr>
        <w:t>Felis</w:t>
      </w:r>
      <w:proofErr w:type="spellEnd"/>
      <w:r>
        <w:rPr>
          <w:i/>
          <w:sz w:val="24"/>
          <w:szCs w:val="24"/>
        </w:rPr>
        <w:t xml:space="preserve"> </w:t>
      </w:r>
      <w:proofErr w:type="spellStart"/>
      <w:r>
        <w:rPr>
          <w:i/>
          <w:sz w:val="24"/>
          <w:szCs w:val="24"/>
        </w:rPr>
        <w:t>silvestris</w:t>
      </w:r>
      <w:proofErr w:type="spellEnd"/>
      <w:r>
        <w:rPr>
          <w:i/>
          <w:sz w:val="24"/>
          <w:szCs w:val="24"/>
        </w:rPr>
        <w:t xml:space="preserve"> </w:t>
      </w:r>
      <w:proofErr w:type="spellStart"/>
      <w:r>
        <w:rPr>
          <w:i/>
          <w:sz w:val="24"/>
          <w:szCs w:val="24"/>
        </w:rPr>
        <w:t>catus</w:t>
      </w:r>
      <w:proofErr w:type="spellEnd"/>
      <w:r>
        <w:rPr>
          <w:sz w:val="24"/>
          <w:szCs w:val="24"/>
        </w:rPr>
        <w:t>) sempre desempenharam um papel fundamental na civilização humana, apresentando crescimento pela adaptabilidade a diversos ambientes e independência da espécie (</w:t>
      </w:r>
      <w:proofErr w:type="spellStart"/>
      <w:r>
        <w:rPr>
          <w:sz w:val="24"/>
          <w:szCs w:val="24"/>
        </w:rPr>
        <w:t>Sholten</w:t>
      </w:r>
      <w:proofErr w:type="spellEnd"/>
      <w:r>
        <w:rPr>
          <w:sz w:val="24"/>
          <w:szCs w:val="24"/>
        </w:rPr>
        <w:t>, 2017). Além disso, muitas pessoas ainda se interessam por esses animais por seu potencial de caça, buscando além de um animal de companhia, o controle específico para roedores. Entretanto, apesar dos benefícios, a falta de cuidado com estes animais (vacinação, tratamento com antiparasitários, alimentação adequada e higiene) podem levar a ocorrência de zoonoses, dentre elas a própria toxoplasmose.</w:t>
      </w:r>
    </w:p>
    <w:p w14:paraId="182B1A25" w14:textId="77777777" w:rsidR="00091C11" w:rsidRDefault="00000000">
      <w:pPr>
        <w:spacing w:line="360" w:lineRule="auto"/>
        <w:jc w:val="both"/>
        <w:rPr>
          <w:sz w:val="24"/>
          <w:szCs w:val="24"/>
        </w:rPr>
      </w:pPr>
      <w:r>
        <w:rPr>
          <w:i/>
          <w:sz w:val="24"/>
          <w:szCs w:val="24"/>
        </w:rPr>
        <w:t>Toxoplasma gondii</w:t>
      </w:r>
      <w:r>
        <w:rPr>
          <w:sz w:val="24"/>
          <w:szCs w:val="24"/>
        </w:rPr>
        <w:t xml:space="preserve"> é um protozoário da </w:t>
      </w:r>
      <w:r>
        <w:rPr>
          <w:i/>
          <w:sz w:val="24"/>
          <w:szCs w:val="24"/>
        </w:rPr>
        <w:t xml:space="preserve">família </w:t>
      </w:r>
      <w:proofErr w:type="spellStart"/>
      <w:r>
        <w:rPr>
          <w:i/>
          <w:sz w:val="24"/>
          <w:szCs w:val="24"/>
        </w:rPr>
        <w:t>Sarcocystidae</w:t>
      </w:r>
      <w:proofErr w:type="spellEnd"/>
      <w:r>
        <w:rPr>
          <w:sz w:val="24"/>
          <w:szCs w:val="24"/>
        </w:rPr>
        <w:t xml:space="preserve">, pertencente à classe </w:t>
      </w:r>
      <w:proofErr w:type="spellStart"/>
      <w:r>
        <w:rPr>
          <w:i/>
          <w:sz w:val="24"/>
          <w:szCs w:val="24"/>
        </w:rPr>
        <w:t>Sporozoa</w:t>
      </w:r>
      <w:proofErr w:type="spellEnd"/>
      <w:r>
        <w:rPr>
          <w:sz w:val="24"/>
          <w:szCs w:val="24"/>
        </w:rPr>
        <w:t>. É um parasita intracelular obrigatório, cujos hospedeiros definitivos são felinos selvagens e domésticos. É um dos parasitos mais amplamente estudados, por conta de sua importância para a saúde pública (</w:t>
      </w:r>
      <w:proofErr w:type="spellStart"/>
      <w:r>
        <w:rPr>
          <w:sz w:val="24"/>
          <w:szCs w:val="24"/>
        </w:rPr>
        <w:t>Dubey</w:t>
      </w:r>
      <w:proofErr w:type="spellEnd"/>
      <w:r>
        <w:rPr>
          <w:sz w:val="24"/>
          <w:szCs w:val="24"/>
        </w:rPr>
        <w:t xml:space="preserve"> 2021), uma vez que os </w:t>
      </w:r>
    </w:p>
    <w:p w14:paraId="4896CA3E" w14:textId="77777777" w:rsidR="00091C11" w:rsidRDefault="00000000">
      <w:pPr>
        <w:spacing w:line="360" w:lineRule="auto"/>
        <w:jc w:val="both"/>
        <w:rPr>
          <w:sz w:val="24"/>
          <w:szCs w:val="24"/>
        </w:rPr>
      </w:pPr>
      <w:r>
        <w:rPr>
          <w:sz w:val="24"/>
          <w:szCs w:val="24"/>
        </w:rPr>
        <w:t>hospedeiros intermediários do T. gondii incluem outros mamíferos, aves, e até mesmo humanos. Os hospedeiros intermediários são infectados pela ingestão de carne sem cocção adequada, água ou solo contaminados por oocistos esporulados (Arruda 2021). Felídeos são os hospedeiros definitivos deste parasita, e excretam oocistos não esporulados através das fezes, necessitando de condições ambientais adequadas para que ocorra a esporulação (</w:t>
      </w:r>
      <w:proofErr w:type="spellStart"/>
      <w:r>
        <w:rPr>
          <w:sz w:val="24"/>
          <w:szCs w:val="24"/>
        </w:rPr>
        <w:t>Dubey</w:t>
      </w:r>
      <w:proofErr w:type="spellEnd"/>
      <w:r>
        <w:rPr>
          <w:sz w:val="24"/>
          <w:szCs w:val="24"/>
        </w:rPr>
        <w:t xml:space="preserve"> </w:t>
      </w:r>
      <w:proofErr w:type="spellStart"/>
      <w:r>
        <w:rPr>
          <w:sz w:val="24"/>
          <w:szCs w:val="24"/>
        </w:rPr>
        <w:t>and</w:t>
      </w:r>
      <w:proofErr w:type="spellEnd"/>
      <w:r>
        <w:rPr>
          <w:sz w:val="24"/>
          <w:szCs w:val="24"/>
        </w:rPr>
        <w:t xml:space="preserve"> Jones, 2008). Comumente, os hospedeiros intermediários se infectam através da ingestão de oocistos esporulados liberados pelos hospedeiros finais; o </w:t>
      </w:r>
      <w:proofErr w:type="spellStart"/>
      <w:r>
        <w:rPr>
          <w:sz w:val="24"/>
          <w:szCs w:val="24"/>
        </w:rPr>
        <w:t>esporozoíta</w:t>
      </w:r>
      <w:proofErr w:type="spellEnd"/>
      <w:r>
        <w:rPr>
          <w:sz w:val="24"/>
          <w:szCs w:val="24"/>
        </w:rPr>
        <w:t xml:space="preserve"> liberado neste processo penetra a parede intestinal e é disseminado via </w:t>
      </w:r>
      <w:proofErr w:type="spellStart"/>
      <w:r>
        <w:rPr>
          <w:sz w:val="24"/>
          <w:szCs w:val="24"/>
        </w:rPr>
        <w:t>hematógena</w:t>
      </w:r>
      <w:proofErr w:type="spellEnd"/>
      <w:r>
        <w:rPr>
          <w:sz w:val="24"/>
          <w:szCs w:val="24"/>
        </w:rPr>
        <w:t xml:space="preserve"> (</w:t>
      </w:r>
      <w:proofErr w:type="spellStart"/>
      <w:r>
        <w:rPr>
          <w:sz w:val="24"/>
          <w:szCs w:val="24"/>
        </w:rPr>
        <w:t>Dubey</w:t>
      </w:r>
      <w:proofErr w:type="spellEnd"/>
      <w:r>
        <w:rPr>
          <w:sz w:val="24"/>
          <w:szCs w:val="24"/>
        </w:rPr>
        <w:t xml:space="preserve"> 2004). De acordo com Taylor, Coop e Wall (2017), após invasão e proliferação, o então chamado </w:t>
      </w:r>
      <w:proofErr w:type="spellStart"/>
      <w:r>
        <w:rPr>
          <w:sz w:val="24"/>
          <w:szCs w:val="24"/>
        </w:rPr>
        <w:t>taquizoíto</w:t>
      </w:r>
      <w:proofErr w:type="spellEnd"/>
      <w:r>
        <w:rPr>
          <w:sz w:val="24"/>
          <w:szCs w:val="24"/>
        </w:rPr>
        <w:t xml:space="preserve">, penetra nas células e se multiplica assexuadamente, formando dois indivíduos no interior da célula mãe. Quando se acumulam de 8 a 16 taquizoítos, a célula rompe e novas células são infectadas, caracterizando a fase aguda da toxoplasmose. Na maioria dos casos, o hospedeiro produz anticorpos que limitam a invasão de taquizoítos e resultam na formação de cistos contendo microrganismos, chamados de </w:t>
      </w:r>
      <w:proofErr w:type="spellStart"/>
      <w:r>
        <w:rPr>
          <w:sz w:val="24"/>
          <w:szCs w:val="24"/>
        </w:rPr>
        <w:t>bradizoítos</w:t>
      </w:r>
      <w:proofErr w:type="spellEnd"/>
      <w:r>
        <w:rPr>
          <w:sz w:val="24"/>
          <w:szCs w:val="24"/>
        </w:rPr>
        <w:t xml:space="preserve">. Essa estrutura é considerada a forma latente. Numa situação em que a imunidade do hospedeiro reduz, o cisto pode se romper e liberar os </w:t>
      </w:r>
      <w:proofErr w:type="spellStart"/>
      <w:r>
        <w:rPr>
          <w:sz w:val="24"/>
          <w:szCs w:val="24"/>
        </w:rPr>
        <w:t>bradizoítos</w:t>
      </w:r>
      <w:proofErr w:type="spellEnd"/>
      <w:r>
        <w:rPr>
          <w:sz w:val="24"/>
          <w:szCs w:val="24"/>
        </w:rPr>
        <w:t>, que se ativam e retomam às atividades invasivas dos taquizoítos.</w:t>
      </w:r>
    </w:p>
    <w:p w14:paraId="5BD98D54" w14:textId="77777777" w:rsidR="00091C11" w:rsidRDefault="00000000">
      <w:pPr>
        <w:spacing w:line="360" w:lineRule="auto"/>
        <w:jc w:val="both"/>
        <w:rPr>
          <w:sz w:val="24"/>
          <w:szCs w:val="24"/>
        </w:rPr>
      </w:pPr>
      <w:r>
        <w:rPr>
          <w:sz w:val="24"/>
          <w:szCs w:val="24"/>
        </w:rPr>
        <w:t xml:space="preserve">Garcia, et al. (1999) em um estudo afirmou não haver grandes correlações entre a idade e a soropositividade. Porém, assim como </w:t>
      </w:r>
      <w:proofErr w:type="spellStart"/>
      <w:r>
        <w:rPr>
          <w:sz w:val="24"/>
          <w:szCs w:val="24"/>
        </w:rPr>
        <w:t>Dubey</w:t>
      </w:r>
      <w:proofErr w:type="spellEnd"/>
      <w:r>
        <w:rPr>
          <w:sz w:val="24"/>
          <w:szCs w:val="24"/>
        </w:rPr>
        <w:t xml:space="preserve"> et al. (1995), animais mais jovens tendem a infectar-se precocemente. No entanto, um estudo realizado por Langoni et al. (2001), apesar de descrever como não significativa a associação entre </w:t>
      </w:r>
      <w:r>
        <w:rPr>
          <w:sz w:val="24"/>
          <w:szCs w:val="24"/>
        </w:rPr>
        <w:lastRenderedPageBreak/>
        <w:t>idade e taxa de infecção, apresentou resultados diferentes, com a maioria dos animais infectados sendo mais velhos.</w:t>
      </w:r>
    </w:p>
    <w:p w14:paraId="440FC36E" w14:textId="77777777" w:rsidR="00091C11" w:rsidRDefault="00000000">
      <w:pPr>
        <w:spacing w:line="360" w:lineRule="auto"/>
        <w:jc w:val="both"/>
        <w:rPr>
          <w:sz w:val="24"/>
          <w:szCs w:val="24"/>
        </w:rPr>
      </w:pPr>
      <w:r>
        <w:rPr>
          <w:sz w:val="24"/>
          <w:szCs w:val="24"/>
        </w:rPr>
        <w:t xml:space="preserve">O município de Santa Maria, com uma população de 271.735 habitantes, está localizado no sul do Brasil (IBGE 2022). Em 19 de outubro de 2018, foram relatados 2235 casos adicionais, com 902 casos confirmados (PMSM 2019). Sendo a principal causa a água contaminada. </w:t>
      </w:r>
      <w:proofErr w:type="spellStart"/>
      <w:r>
        <w:rPr>
          <w:sz w:val="24"/>
          <w:szCs w:val="24"/>
        </w:rPr>
        <w:t>Arquilla</w:t>
      </w:r>
      <w:proofErr w:type="spellEnd"/>
      <w:r>
        <w:rPr>
          <w:sz w:val="24"/>
          <w:szCs w:val="24"/>
        </w:rPr>
        <w:t xml:space="preserve"> et al. (2019) e Fernandes et al. (2024) relataram este como o maior surto de toxoplasmose no mundo.</w:t>
      </w:r>
    </w:p>
    <w:p w14:paraId="2BC92CBA" w14:textId="77777777" w:rsidR="00091C11" w:rsidRDefault="00091C11">
      <w:pPr>
        <w:spacing w:line="360" w:lineRule="auto"/>
        <w:ind w:firstLine="720"/>
        <w:jc w:val="both"/>
        <w:rPr>
          <w:sz w:val="24"/>
          <w:szCs w:val="24"/>
        </w:rPr>
      </w:pPr>
    </w:p>
    <w:p w14:paraId="5FC5A646" w14:textId="77777777" w:rsidR="00091C11" w:rsidRDefault="00000000">
      <w:pPr>
        <w:spacing w:line="360" w:lineRule="auto"/>
        <w:jc w:val="both"/>
        <w:rPr>
          <w:sz w:val="24"/>
          <w:szCs w:val="24"/>
        </w:rPr>
      </w:pPr>
      <w:r>
        <w:rPr>
          <w:sz w:val="24"/>
          <w:szCs w:val="24"/>
        </w:rPr>
        <w:t>MÉTODOS</w:t>
      </w:r>
    </w:p>
    <w:p w14:paraId="3C88A8F1" w14:textId="77777777" w:rsidR="00091C11" w:rsidRDefault="00000000">
      <w:pPr>
        <w:spacing w:line="360" w:lineRule="auto"/>
        <w:jc w:val="both"/>
        <w:rPr>
          <w:sz w:val="24"/>
          <w:szCs w:val="24"/>
        </w:rPr>
      </w:pPr>
      <w:r>
        <w:rPr>
          <w:sz w:val="24"/>
          <w:szCs w:val="24"/>
        </w:rPr>
        <w:t>Amostras sorológicas foram obtidas a partir de amostras de felinos que foram atendidos no Hospital Veterinária Universitário da Universidade Federal de Santa Maria e que foram submetidos à alguma análise, como por exemplo, hemograma. Para tanto, o Laboratório de Análises Clínicas (LACVET) encaminhou as amostras para o Laboratório de Doenças Parasitárias (LADOPAR) para a realização da sorologia.</w:t>
      </w:r>
    </w:p>
    <w:p w14:paraId="61C5F366" w14:textId="77777777" w:rsidR="00091C11" w:rsidRDefault="00000000">
      <w:pPr>
        <w:spacing w:line="360" w:lineRule="auto"/>
        <w:jc w:val="both"/>
        <w:rPr>
          <w:sz w:val="24"/>
          <w:szCs w:val="24"/>
        </w:rPr>
      </w:pPr>
      <w:r>
        <w:rPr>
          <w:sz w:val="24"/>
          <w:szCs w:val="24"/>
        </w:rPr>
        <w:t xml:space="preserve">A sorologia foi realizada com o objetivo de detecção de anticorpos IgG </w:t>
      </w:r>
      <w:proofErr w:type="spellStart"/>
      <w:r>
        <w:rPr>
          <w:sz w:val="24"/>
          <w:szCs w:val="24"/>
        </w:rPr>
        <w:t>anti</w:t>
      </w:r>
      <w:proofErr w:type="spellEnd"/>
      <w:r>
        <w:rPr>
          <w:sz w:val="24"/>
          <w:szCs w:val="24"/>
        </w:rPr>
        <w:t xml:space="preserve">- </w:t>
      </w:r>
      <w:r>
        <w:rPr>
          <w:i/>
          <w:sz w:val="24"/>
          <w:szCs w:val="24"/>
        </w:rPr>
        <w:t>T. gondii</w:t>
      </w:r>
      <w:r>
        <w:rPr>
          <w:sz w:val="24"/>
          <w:szCs w:val="24"/>
        </w:rPr>
        <w:t xml:space="preserve">, por meio da Técnica de Reação de Imunofluorescência Indireta. A técnica foi realizada utilizando lâminas </w:t>
      </w:r>
      <w:proofErr w:type="spellStart"/>
      <w:r>
        <w:rPr>
          <w:i/>
          <w:sz w:val="24"/>
          <w:szCs w:val="24"/>
        </w:rPr>
        <w:t>multipos</w:t>
      </w:r>
      <w:r>
        <w:rPr>
          <w:sz w:val="24"/>
          <w:szCs w:val="24"/>
        </w:rPr>
        <w:t>t</w:t>
      </w:r>
      <w:proofErr w:type="spellEnd"/>
      <w:r>
        <w:rPr>
          <w:sz w:val="24"/>
          <w:szCs w:val="24"/>
        </w:rPr>
        <w:t xml:space="preserve">, contendo amostras positivas e negativas a partir de amostras sabidamente positivas e negativas, respectivamente. </w:t>
      </w:r>
    </w:p>
    <w:p w14:paraId="021785B2" w14:textId="77777777" w:rsidR="00091C11" w:rsidRDefault="00000000">
      <w:pPr>
        <w:spacing w:line="360" w:lineRule="auto"/>
        <w:jc w:val="both"/>
        <w:rPr>
          <w:sz w:val="24"/>
          <w:szCs w:val="24"/>
        </w:rPr>
      </w:pPr>
      <w:r>
        <w:rPr>
          <w:sz w:val="24"/>
          <w:szCs w:val="24"/>
        </w:rPr>
        <w:t xml:space="preserve">As amostras de soro foram diluídas em PBS sob diluição de 1:20 (anticorpo primário) e diluição de 1:100 para o anticorpo secundário. Ambas as diluições foram incubadas à 37ºC por 1 hora, e posteriormente, lavadas em PBS e água destilada. Ao final, as lâminas foram observadas em microscópio de </w:t>
      </w:r>
      <w:proofErr w:type="spellStart"/>
      <w:r>
        <w:rPr>
          <w:sz w:val="24"/>
          <w:szCs w:val="24"/>
        </w:rPr>
        <w:t>epifluorescência</w:t>
      </w:r>
      <w:proofErr w:type="spellEnd"/>
      <w:r>
        <w:rPr>
          <w:sz w:val="24"/>
          <w:szCs w:val="24"/>
        </w:rPr>
        <w:t xml:space="preserve"> com o objetivo de verificar quais amostras eram positivas ou negativas. </w:t>
      </w:r>
    </w:p>
    <w:p w14:paraId="5B70B7E2" w14:textId="77777777" w:rsidR="00091C11" w:rsidRDefault="00000000">
      <w:pPr>
        <w:spacing w:line="360" w:lineRule="auto"/>
        <w:jc w:val="both"/>
        <w:rPr>
          <w:b/>
          <w:sz w:val="24"/>
          <w:szCs w:val="24"/>
        </w:rPr>
      </w:pPr>
      <w:r>
        <w:rPr>
          <w:sz w:val="24"/>
          <w:szCs w:val="24"/>
        </w:rPr>
        <w:t xml:space="preserve">Amostras que apresentaram as superfícies dos taquizoítos completamente fluorescentes foram consideradas positivas, </w:t>
      </w:r>
      <w:proofErr w:type="gramStart"/>
      <w:r>
        <w:rPr>
          <w:sz w:val="24"/>
          <w:szCs w:val="24"/>
        </w:rPr>
        <w:t>enquanto que</w:t>
      </w:r>
      <w:proofErr w:type="gramEnd"/>
      <w:r>
        <w:rPr>
          <w:sz w:val="24"/>
          <w:szCs w:val="24"/>
        </w:rPr>
        <w:t xml:space="preserve"> as que não apresentaram a fluorescência foram consideradas negativas. Amostras que apresentaram reações apicais também foram consideradas negativas.  </w:t>
      </w:r>
    </w:p>
    <w:p w14:paraId="0E4B381E" w14:textId="77777777" w:rsidR="00091C11" w:rsidRDefault="00091C11">
      <w:pPr>
        <w:spacing w:line="360" w:lineRule="auto"/>
        <w:ind w:firstLine="720"/>
        <w:jc w:val="both"/>
        <w:rPr>
          <w:sz w:val="24"/>
          <w:szCs w:val="24"/>
        </w:rPr>
      </w:pPr>
    </w:p>
    <w:p w14:paraId="76B4874D" w14:textId="77777777" w:rsidR="00091C11" w:rsidRDefault="00000000">
      <w:pPr>
        <w:spacing w:line="360" w:lineRule="auto"/>
        <w:jc w:val="both"/>
        <w:rPr>
          <w:sz w:val="24"/>
          <w:szCs w:val="24"/>
        </w:rPr>
      </w:pPr>
      <w:r>
        <w:rPr>
          <w:sz w:val="24"/>
          <w:szCs w:val="24"/>
        </w:rPr>
        <w:t>RESULTADOS</w:t>
      </w:r>
    </w:p>
    <w:p w14:paraId="06B77BDA" w14:textId="77777777" w:rsidR="00091C11" w:rsidRDefault="00000000">
      <w:pPr>
        <w:spacing w:line="360" w:lineRule="auto"/>
        <w:jc w:val="both"/>
        <w:rPr>
          <w:sz w:val="24"/>
          <w:szCs w:val="24"/>
        </w:rPr>
      </w:pPr>
      <w:r>
        <w:rPr>
          <w:sz w:val="24"/>
          <w:szCs w:val="24"/>
        </w:rPr>
        <w:t>Os resultados oriundos da coleta pós-surto são apresentados na Tabela 1.</w:t>
      </w:r>
    </w:p>
    <w:p w14:paraId="48171CCE" w14:textId="77777777" w:rsidR="00091C11" w:rsidRDefault="00091C11">
      <w:pPr>
        <w:spacing w:line="360" w:lineRule="auto"/>
        <w:ind w:firstLine="720"/>
        <w:jc w:val="both"/>
        <w:rPr>
          <w:sz w:val="24"/>
          <w:szCs w:val="24"/>
        </w:rPr>
      </w:pPr>
    </w:p>
    <w:p w14:paraId="39B8F708" w14:textId="77777777" w:rsidR="00091C11" w:rsidRDefault="00000000">
      <w:pPr>
        <w:spacing w:line="360" w:lineRule="auto"/>
        <w:jc w:val="both"/>
        <w:rPr>
          <w:i/>
          <w:sz w:val="24"/>
          <w:szCs w:val="24"/>
        </w:rPr>
      </w:pPr>
      <w:r>
        <w:rPr>
          <w:sz w:val="24"/>
          <w:szCs w:val="24"/>
        </w:rPr>
        <w:t xml:space="preserve">Tabela 1: Relação entre a idade dos felinos analisados e a soropositividade para </w:t>
      </w:r>
      <w:r>
        <w:rPr>
          <w:i/>
          <w:sz w:val="24"/>
          <w:szCs w:val="24"/>
        </w:rPr>
        <w:t>T. gondii</w:t>
      </w:r>
    </w:p>
    <w:p w14:paraId="07E9D2D7" w14:textId="77777777" w:rsidR="00091C11" w:rsidRDefault="00091C11">
      <w:pPr>
        <w:spacing w:line="360" w:lineRule="auto"/>
        <w:jc w:val="both"/>
        <w:rPr>
          <w:sz w:val="24"/>
          <w:szCs w:val="24"/>
        </w:rPr>
      </w:pPr>
    </w:p>
    <w:tbl>
      <w:tblPr>
        <w:tblStyle w:val="a0"/>
        <w:tblW w:w="90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85"/>
        <w:gridCol w:w="1290"/>
        <w:gridCol w:w="1215"/>
        <w:gridCol w:w="1695"/>
        <w:gridCol w:w="1755"/>
        <w:gridCol w:w="1560"/>
      </w:tblGrid>
      <w:tr w:rsidR="00091C11" w14:paraId="005179C6" w14:textId="77777777">
        <w:trPr>
          <w:trHeight w:val="315"/>
        </w:trPr>
        <w:tc>
          <w:tcPr>
            <w:tcW w:w="1485" w:type="dxa"/>
            <w:tcBorders>
              <w:top w:val="single" w:sz="5" w:space="0" w:color="284E3F"/>
              <w:left w:val="single" w:sz="5" w:space="0" w:color="284E3F"/>
              <w:bottom w:val="single" w:sz="5" w:space="0" w:color="000000"/>
              <w:right w:val="single" w:sz="5" w:space="0" w:color="356854"/>
            </w:tcBorders>
            <w:tcMar>
              <w:top w:w="40" w:type="dxa"/>
              <w:left w:w="120" w:type="dxa"/>
              <w:bottom w:w="40" w:type="dxa"/>
              <w:right w:w="120" w:type="dxa"/>
            </w:tcMar>
            <w:vAlign w:val="center"/>
          </w:tcPr>
          <w:p w14:paraId="304A28EB" w14:textId="77777777" w:rsidR="00091C11" w:rsidRDefault="00000000">
            <w:pPr>
              <w:widowControl w:val="0"/>
              <w:rPr>
                <w:sz w:val="20"/>
                <w:szCs w:val="20"/>
              </w:rPr>
            </w:pPr>
            <w:r>
              <w:rPr>
                <w:sz w:val="20"/>
                <w:szCs w:val="20"/>
              </w:rPr>
              <w:t>Classificação</w:t>
            </w:r>
          </w:p>
        </w:tc>
        <w:tc>
          <w:tcPr>
            <w:tcW w:w="1290" w:type="dxa"/>
            <w:tcBorders>
              <w:top w:val="single" w:sz="5" w:space="0" w:color="284E3F"/>
              <w:left w:val="single" w:sz="5" w:space="0" w:color="CCCCCC"/>
              <w:bottom w:val="single" w:sz="5" w:space="0" w:color="000000"/>
              <w:right w:val="single" w:sz="5" w:space="0" w:color="356854"/>
            </w:tcBorders>
            <w:tcMar>
              <w:top w:w="40" w:type="dxa"/>
              <w:left w:w="120" w:type="dxa"/>
              <w:bottom w:w="40" w:type="dxa"/>
              <w:right w:w="120" w:type="dxa"/>
            </w:tcMar>
            <w:vAlign w:val="center"/>
          </w:tcPr>
          <w:p w14:paraId="28109CA9" w14:textId="77777777" w:rsidR="00091C11" w:rsidRDefault="00000000">
            <w:pPr>
              <w:widowControl w:val="0"/>
              <w:rPr>
                <w:sz w:val="20"/>
                <w:szCs w:val="20"/>
              </w:rPr>
            </w:pPr>
            <w:r>
              <w:rPr>
                <w:sz w:val="20"/>
                <w:szCs w:val="20"/>
              </w:rPr>
              <w:t>Faixa de idade</w:t>
            </w:r>
          </w:p>
        </w:tc>
        <w:tc>
          <w:tcPr>
            <w:tcW w:w="1215" w:type="dxa"/>
            <w:tcBorders>
              <w:top w:val="single" w:sz="5" w:space="0" w:color="284E3F"/>
              <w:left w:val="single" w:sz="5" w:space="0" w:color="CCCCCC"/>
              <w:bottom w:val="single" w:sz="5" w:space="0" w:color="000000"/>
              <w:right w:val="single" w:sz="5" w:space="0" w:color="356854"/>
            </w:tcBorders>
            <w:tcMar>
              <w:top w:w="40" w:type="dxa"/>
              <w:left w:w="120" w:type="dxa"/>
              <w:bottom w:w="40" w:type="dxa"/>
              <w:right w:w="120" w:type="dxa"/>
            </w:tcMar>
            <w:vAlign w:val="center"/>
          </w:tcPr>
          <w:p w14:paraId="2056B858" w14:textId="77777777" w:rsidR="00091C11" w:rsidRDefault="00000000">
            <w:pPr>
              <w:widowControl w:val="0"/>
              <w:rPr>
                <w:sz w:val="20"/>
                <w:szCs w:val="20"/>
              </w:rPr>
            </w:pPr>
            <w:r>
              <w:rPr>
                <w:sz w:val="20"/>
                <w:szCs w:val="20"/>
              </w:rPr>
              <w:t>Total</w:t>
            </w:r>
          </w:p>
        </w:tc>
        <w:tc>
          <w:tcPr>
            <w:tcW w:w="1695" w:type="dxa"/>
            <w:tcBorders>
              <w:top w:val="single" w:sz="5" w:space="0" w:color="284E3F"/>
              <w:left w:val="single" w:sz="5" w:space="0" w:color="CCCCCC"/>
              <w:bottom w:val="single" w:sz="5" w:space="0" w:color="000000"/>
              <w:right w:val="single" w:sz="5" w:space="0" w:color="356854"/>
            </w:tcBorders>
            <w:tcMar>
              <w:top w:w="40" w:type="dxa"/>
              <w:left w:w="120" w:type="dxa"/>
              <w:bottom w:w="40" w:type="dxa"/>
              <w:right w:w="120" w:type="dxa"/>
            </w:tcMar>
            <w:vAlign w:val="center"/>
          </w:tcPr>
          <w:p w14:paraId="39EABD3E" w14:textId="77777777" w:rsidR="00091C11" w:rsidRDefault="00000000">
            <w:pPr>
              <w:widowControl w:val="0"/>
              <w:rPr>
                <w:sz w:val="20"/>
                <w:szCs w:val="20"/>
              </w:rPr>
            </w:pPr>
            <w:r>
              <w:rPr>
                <w:sz w:val="20"/>
                <w:szCs w:val="20"/>
              </w:rPr>
              <w:t>Positivo (%)</w:t>
            </w:r>
          </w:p>
        </w:tc>
        <w:tc>
          <w:tcPr>
            <w:tcW w:w="1755" w:type="dxa"/>
            <w:tcBorders>
              <w:top w:val="single" w:sz="5" w:space="0" w:color="284E3F"/>
              <w:left w:val="single" w:sz="5" w:space="0" w:color="CCCCCC"/>
              <w:bottom w:val="single" w:sz="5" w:space="0" w:color="000000"/>
              <w:right w:val="single" w:sz="5" w:space="0" w:color="356854"/>
            </w:tcBorders>
            <w:tcMar>
              <w:top w:w="40" w:type="dxa"/>
              <w:left w:w="120" w:type="dxa"/>
              <w:bottom w:w="40" w:type="dxa"/>
              <w:right w:w="120" w:type="dxa"/>
            </w:tcMar>
            <w:vAlign w:val="center"/>
          </w:tcPr>
          <w:p w14:paraId="7D6AD2FB" w14:textId="77777777" w:rsidR="00091C11" w:rsidRDefault="00000000">
            <w:pPr>
              <w:widowControl w:val="0"/>
              <w:rPr>
                <w:sz w:val="20"/>
                <w:szCs w:val="20"/>
              </w:rPr>
            </w:pPr>
            <w:r>
              <w:rPr>
                <w:sz w:val="20"/>
                <w:szCs w:val="20"/>
              </w:rPr>
              <w:t>Negativo (%)</w:t>
            </w:r>
          </w:p>
        </w:tc>
        <w:tc>
          <w:tcPr>
            <w:tcW w:w="1560" w:type="dxa"/>
            <w:tcBorders>
              <w:top w:val="single" w:sz="5" w:space="0" w:color="284E3F"/>
              <w:left w:val="single" w:sz="5" w:space="0" w:color="CCCCCC"/>
              <w:bottom w:val="single" w:sz="5" w:space="0" w:color="000000"/>
              <w:right w:val="single" w:sz="5" w:space="0" w:color="284E3F"/>
            </w:tcBorders>
            <w:tcMar>
              <w:top w:w="40" w:type="dxa"/>
              <w:left w:w="120" w:type="dxa"/>
              <w:bottom w:w="40" w:type="dxa"/>
              <w:right w:w="120" w:type="dxa"/>
            </w:tcMar>
            <w:vAlign w:val="center"/>
          </w:tcPr>
          <w:p w14:paraId="062CD0C3" w14:textId="77777777" w:rsidR="00091C11" w:rsidRDefault="00000000">
            <w:pPr>
              <w:widowControl w:val="0"/>
              <w:rPr>
                <w:sz w:val="20"/>
                <w:szCs w:val="20"/>
              </w:rPr>
            </w:pPr>
            <w:r>
              <w:rPr>
                <w:sz w:val="20"/>
                <w:szCs w:val="20"/>
              </w:rPr>
              <w:t>Apical (%)</w:t>
            </w:r>
          </w:p>
        </w:tc>
      </w:tr>
      <w:tr w:rsidR="00091C11" w14:paraId="2808EE84" w14:textId="77777777">
        <w:trPr>
          <w:trHeight w:val="315"/>
        </w:trPr>
        <w:tc>
          <w:tcPr>
            <w:tcW w:w="1485" w:type="dxa"/>
            <w:tcBorders>
              <w:top w:val="single" w:sz="5" w:space="0" w:color="CCCCCC"/>
              <w:left w:val="single" w:sz="5" w:space="0" w:color="000000"/>
              <w:bottom w:val="single" w:sz="5" w:space="0" w:color="000000"/>
              <w:right w:val="single" w:sz="5" w:space="0" w:color="000000"/>
            </w:tcBorders>
            <w:shd w:val="clear" w:color="auto" w:fill="FFFFFF"/>
            <w:tcMar>
              <w:top w:w="40" w:type="dxa"/>
              <w:left w:w="120" w:type="dxa"/>
              <w:bottom w:w="40" w:type="dxa"/>
              <w:right w:w="120" w:type="dxa"/>
            </w:tcMar>
            <w:vAlign w:val="center"/>
          </w:tcPr>
          <w:p w14:paraId="50B9457E" w14:textId="77777777" w:rsidR="00091C11" w:rsidRDefault="00000000">
            <w:pPr>
              <w:widowControl w:val="0"/>
              <w:rPr>
                <w:sz w:val="20"/>
                <w:szCs w:val="20"/>
              </w:rPr>
            </w:pPr>
            <w:r>
              <w:rPr>
                <w:sz w:val="20"/>
                <w:szCs w:val="20"/>
              </w:rPr>
              <w:t>Filhote</w:t>
            </w:r>
          </w:p>
        </w:tc>
        <w:tc>
          <w:tcPr>
            <w:tcW w:w="1290" w:type="dxa"/>
            <w:tcBorders>
              <w:top w:val="single" w:sz="5" w:space="0" w:color="CCCCCC"/>
              <w:left w:val="single" w:sz="5" w:space="0" w:color="CCCCCC"/>
              <w:bottom w:val="single" w:sz="5" w:space="0" w:color="000000"/>
              <w:right w:val="single" w:sz="5" w:space="0" w:color="000000"/>
            </w:tcBorders>
            <w:shd w:val="clear" w:color="auto" w:fill="FFFFFF"/>
            <w:tcMar>
              <w:top w:w="40" w:type="dxa"/>
              <w:left w:w="120" w:type="dxa"/>
              <w:bottom w:w="40" w:type="dxa"/>
              <w:right w:w="120" w:type="dxa"/>
            </w:tcMar>
            <w:vAlign w:val="center"/>
          </w:tcPr>
          <w:p w14:paraId="6EABE530" w14:textId="77777777" w:rsidR="00091C11" w:rsidRDefault="00000000">
            <w:pPr>
              <w:widowControl w:val="0"/>
              <w:rPr>
                <w:sz w:val="20"/>
                <w:szCs w:val="20"/>
              </w:rPr>
            </w:pPr>
            <w:r>
              <w:rPr>
                <w:sz w:val="20"/>
                <w:szCs w:val="20"/>
              </w:rPr>
              <w:t>0-1</w:t>
            </w:r>
          </w:p>
        </w:tc>
        <w:tc>
          <w:tcPr>
            <w:tcW w:w="1215" w:type="dxa"/>
            <w:tcBorders>
              <w:top w:val="single" w:sz="5" w:space="0" w:color="CCCCCC"/>
              <w:left w:val="single" w:sz="5" w:space="0" w:color="CCCCCC"/>
              <w:bottom w:val="single" w:sz="5" w:space="0" w:color="000000"/>
              <w:right w:val="single" w:sz="5" w:space="0" w:color="000000"/>
            </w:tcBorders>
            <w:shd w:val="clear" w:color="auto" w:fill="FFFFFF"/>
            <w:tcMar>
              <w:top w:w="40" w:type="dxa"/>
              <w:left w:w="120" w:type="dxa"/>
              <w:bottom w:w="40" w:type="dxa"/>
              <w:right w:w="120" w:type="dxa"/>
            </w:tcMar>
            <w:vAlign w:val="center"/>
          </w:tcPr>
          <w:p w14:paraId="538458AC" w14:textId="77777777" w:rsidR="00091C11" w:rsidRDefault="00000000">
            <w:pPr>
              <w:widowControl w:val="0"/>
              <w:rPr>
                <w:sz w:val="20"/>
                <w:szCs w:val="20"/>
              </w:rPr>
            </w:pPr>
            <w:r>
              <w:rPr>
                <w:sz w:val="20"/>
                <w:szCs w:val="20"/>
              </w:rPr>
              <w:t>58</w:t>
            </w:r>
          </w:p>
        </w:tc>
        <w:tc>
          <w:tcPr>
            <w:tcW w:w="1695" w:type="dxa"/>
            <w:tcBorders>
              <w:top w:val="single" w:sz="5" w:space="0" w:color="CCCCCC"/>
              <w:left w:val="single" w:sz="5" w:space="0" w:color="CCCCCC"/>
              <w:bottom w:val="single" w:sz="5" w:space="0" w:color="000000"/>
              <w:right w:val="single" w:sz="5" w:space="0" w:color="000000"/>
            </w:tcBorders>
            <w:shd w:val="clear" w:color="auto" w:fill="FFFFFF"/>
            <w:tcMar>
              <w:top w:w="40" w:type="dxa"/>
              <w:left w:w="120" w:type="dxa"/>
              <w:bottom w:w="40" w:type="dxa"/>
              <w:right w:w="120" w:type="dxa"/>
            </w:tcMar>
            <w:vAlign w:val="center"/>
          </w:tcPr>
          <w:p w14:paraId="174AB074" w14:textId="77777777" w:rsidR="00091C11" w:rsidRDefault="00000000">
            <w:pPr>
              <w:widowControl w:val="0"/>
              <w:jc w:val="right"/>
              <w:rPr>
                <w:sz w:val="20"/>
                <w:szCs w:val="20"/>
              </w:rPr>
            </w:pPr>
            <w:r>
              <w:rPr>
                <w:sz w:val="20"/>
                <w:szCs w:val="20"/>
              </w:rPr>
              <w:t>10,34%</w:t>
            </w:r>
          </w:p>
        </w:tc>
        <w:tc>
          <w:tcPr>
            <w:tcW w:w="1755" w:type="dxa"/>
            <w:tcBorders>
              <w:top w:val="single" w:sz="5" w:space="0" w:color="CCCCCC"/>
              <w:left w:val="single" w:sz="5" w:space="0" w:color="CCCCCC"/>
              <w:bottom w:val="single" w:sz="5" w:space="0" w:color="000000"/>
              <w:right w:val="single" w:sz="5" w:space="0" w:color="000000"/>
            </w:tcBorders>
            <w:shd w:val="clear" w:color="auto" w:fill="FFFFFF"/>
            <w:tcMar>
              <w:top w:w="40" w:type="dxa"/>
              <w:left w:w="120" w:type="dxa"/>
              <w:bottom w:w="40" w:type="dxa"/>
              <w:right w:w="120" w:type="dxa"/>
            </w:tcMar>
            <w:vAlign w:val="center"/>
          </w:tcPr>
          <w:p w14:paraId="2760102F" w14:textId="77777777" w:rsidR="00091C11" w:rsidRDefault="00000000">
            <w:pPr>
              <w:widowControl w:val="0"/>
              <w:jc w:val="right"/>
              <w:rPr>
                <w:sz w:val="20"/>
                <w:szCs w:val="20"/>
              </w:rPr>
            </w:pPr>
            <w:r>
              <w:rPr>
                <w:sz w:val="20"/>
                <w:szCs w:val="20"/>
              </w:rPr>
              <w:t>82,76%</w:t>
            </w:r>
          </w:p>
        </w:tc>
        <w:tc>
          <w:tcPr>
            <w:tcW w:w="1560" w:type="dxa"/>
            <w:tcBorders>
              <w:top w:val="single" w:sz="5" w:space="0" w:color="CCCCCC"/>
              <w:left w:val="single" w:sz="5" w:space="0" w:color="CCCCCC"/>
              <w:bottom w:val="single" w:sz="5" w:space="0" w:color="000000"/>
              <w:right w:val="single" w:sz="5" w:space="0" w:color="000000"/>
            </w:tcBorders>
            <w:shd w:val="clear" w:color="auto" w:fill="FFFFFF"/>
            <w:tcMar>
              <w:top w:w="40" w:type="dxa"/>
              <w:left w:w="120" w:type="dxa"/>
              <w:bottom w:w="40" w:type="dxa"/>
              <w:right w:w="120" w:type="dxa"/>
            </w:tcMar>
            <w:vAlign w:val="center"/>
          </w:tcPr>
          <w:p w14:paraId="2B599DD6" w14:textId="77777777" w:rsidR="00091C11" w:rsidRDefault="00000000">
            <w:pPr>
              <w:widowControl w:val="0"/>
              <w:jc w:val="right"/>
              <w:rPr>
                <w:sz w:val="20"/>
                <w:szCs w:val="20"/>
              </w:rPr>
            </w:pPr>
            <w:r>
              <w:rPr>
                <w:sz w:val="20"/>
                <w:szCs w:val="20"/>
              </w:rPr>
              <w:t>6,90%</w:t>
            </w:r>
          </w:p>
        </w:tc>
      </w:tr>
      <w:tr w:rsidR="00091C11" w14:paraId="4DB081DB" w14:textId="77777777">
        <w:trPr>
          <w:trHeight w:val="315"/>
        </w:trPr>
        <w:tc>
          <w:tcPr>
            <w:tcW w:w="1485" w:type="dxa"/>
            <w:tcBorders>
              <w:top w:val="single" w:sz="5" w:space="0" w:color="CCCCCC"/>
              <w:left w:val="single" w:sz="5" w:space="0" w:color="000000"/>
              <w:bottom w:val="single" w:sz="5" w:space="0" w:color="000000"/>
              <w:right w:val="single" w:sz="5" w:space="0" w:color="000000"/>
            </w:tcBorders>
            <w:shd w:val="clear" w:color="auto" w:fill="F6F8F9"/>
            <w:tcMar>
              <w:top w:w="40" w:type="dxa"/>
              <w:left w:w="120" w:type="dxa"/>
              <w:bottom w:w="40" w:type="dxa"/>
              <w:right w:w="120" w:type="dxa"/>
            </w:tcMar>
            <w:vAlign w:val="center"/>
          </w:tcPr>
          <w:p w14:paraId="79B2F446" w14:textId="77777777" w:rsidR="00091C11" w:rsidRDefault="00000000">
            <w:pPr>
              <w:widowControl w:val="0"/>
              <w:rPr>
                <w:sz w:val="20"/>
                <w:szCs w:val="20"/>
              </w:rPr>
            </w:pPr>
            <w:r>
              <w:rPr>
                <w:sz w:val="20"/>
                <w:szCs w:val="20"/>
              </w:rPr>
              <w:t>Jovem</w:t>
            </w:r>
          </w:p>
        </w:tc>
        <w:tc>
          <w:tcPr>
            <w:tcW w:w="1290" w:type="dxa"/>
            <w:tcBorders>
              <w:top w:val="single" w:sz="5" w:space="0" w:color="CCCCCC"/>
              <w:left w:val="single" w:sz="5" w:space="0" w:color="CCCCCC"/>
              <w:bottom w:val="single" w:sz="5" w:space="0" w:color="000000"/>
              <w:right w:val="single" w:sz="5" w:space="0" w:color="000000"/>
            </w:tcBorders>
            <w:shd w:val="clear" w:color="auto" w:fill="F6F8F9"/>
            <w:tcMar>
              <w:top w:w="40" w:type="dxa"/>
              <w:left w:w="120" w:type="dxa"/>
              <w:bottom w:w="40" w:type="dxa"/>
              <w:right w:w="120" w:type="dxa"/>
            </w:tcMar>
            <w:vAlign w:val="center"/>
          </w:tcPr>
          <w:p w14:paraId="615215B7" w14:textId="77777777" w:rsidR="00091C11" w:rsidRDefault="00000000">
            <w:pPr>
              <w:widowControl w:val="0"/>
              <w:rPr>
                <w:sz w:val="20"/>
                <w:szCs w:val="20"/>
              </w:rPr>
            </w:pPr>
            <w:r>
              <w:rPr>
                <w:sz w:val="20"/>
                <w:szCs w:val="20"/>
              </w:rPr>
              <w:t>1-3 anos</w:t>
            </w:r>
          </w:p>
        </w:tc>
        <w:tc>
          <w:tcPr>
            <w:tcW w:w="1215" w:type="dxa"/>
            <w:tcBorders>
              <w:top w:val="single" w:sz="5" w:space="0" w:color="CCCCCC"/>
              <w:left w:val="single" w:sz="5" w:space="0" w:color="CCCCCC"/>
              <w:bottom w:val="single" w:sz="5" w:space="0" w:color="000000"/>
              <w:right w:val="single" w:sz="5" w:space="0" w:color="000000"/>
            </w:tcBorders>
            <w:shd w:val="clear" w:color="auto" w:fill="F6F8F9"/>
            <w:tcMar>
              <w:top w:w="40" w:type="dxa"/>
              <w:left w:w="120" w:type="dxa"/>
              <w:bottom w:w="40" w:type="dxa"/>
              <w:right w:w="120" w:type="dxa"/>
            </w:tcMar>
            <w:vAlign w:val="center"/>
          </w:tcPr>
          <w:p w14:paraId="25180A17" w14:textId="77777777" w:rsidR="00091C11" w:rsidRDefault="00000000">
            <w:pPr>
              <w:widowControl w:val="0"/>
              <w:rPr>
                <w:sz w:val="20"/>
                <w:szCs w:val="20"/>
              </w:rPr>
            </w:pPr>
            <w:r>
              <w:rPr>
                <w:sz w:val="20"/>
                <w:szCs w:val="20"/>
              </w:rPr>
              <w:t>32</w:t>
            </w:r>
          </w:p>
        </w:tc>
        <w:tc>
          <w:tcPr>
            <w:tcW w:w="1695" w:type="dxa"/>
            <w:tcBorders>
              <w:top w:val="single" w:sz="5" w:space="0" w:color="CCCCCC"/>
              <w:left w:val="single" w:sz="5" w:space="0" w:color="CCCCCC"/>
              <w:bottom w:val="single" w:sz="5" w:space="0" w:color="000000"/>
              <w:right w:val="single" w:sz="5" w:space="0" w:color="000000"/>
            </w:tcBorders>
            <w:shd w:val="clear" w:color="auto" w:fill="F6F8F9"/>
            <w:tcMar>
              <w:top w:w="40" w:type="dxa"/>
              <w:left w:w="120" w:type="dxa"/>
              <w:bottom w:w="40" w:type="dxa"/>
              <w:right w:w="120" w:type="dxa"/>
            </w:tcMar>
            <w:vAlign w:val="center"/>
          </w:tcPr>
          <w:p w14:paraId="2647CA75" w14:textId="77777777" w:rsidR="00091C11" w:rsidRDefault="00000000">
            <w:pPr>
              <w:widowControl w:val="0"/>
              <w:jc w:val="right"/>
              <w:rPr>
                <w:sz w:val="20"/>
                <w:szCs w:val="20"/>
              </w:rPr>
            </w:pPr>
            <w:r>
              <w:rPr>
                <w:sz w:val="20"/>
                <w:szCs w:val="20"/>
              </w:rPr>
              <w:t>37,50%</w:t>
            </w:r>
          </w:p>
        </w:tc>
        <w:tc>
          <w:tcPr>
            <w:tcW w:w="1755" w:type="dxa"/>
            <w:tcBorders>
              <w:top w:val="single" w:sz="5" w:space="0" w:color="CCCCCC"/>
              <w:left w:val="single" w:sz="5" w:space="0" w:color="CCCCCC"/>
              <w:bottom w:val="single" w:sz="5" w:space="0" w:color="000000"/>
              <w:right w:val="single" w:sz="5" w:space="0" w:color="000000"/>
            </w:tcBorders>
            <w:shd w:val="clear" w:color="auto" w:fill="F6F8F9"/>
            <w:tcMar>
              <w:top w:w="40" w:type="dxa"/>
              <w:left w:w="120" w:type="dxa"/>
              <w:bottom w:w="40" w:type="dxa"/>
              <w:right w:w="120" w:type="dxa"/>
            </w:tcMar>
            <w:vAlign w:val="center"/>
          </w:tcPr>
          <w:p w14:paraId="2B2EA387" w14:textId="77777777" w:rsidR="00091C11" w:rsidRDefault="00000000">
            <w:pPr>
              <w:widowControl w:val="0"/>
              <w:jc w:val="right"/>
              <w:rPr>
                <w:sz w:val="20"/>
                <w:szCs w:val="20"/>
              </w:rPr>
            </w:pPr>
            <w:r>
              <w:rPr>
                <w:sz w:val="20"/>
                <w:szCs w:val="20"/>
              </w:rPr>
              <w:t>53,13%</w:t>
            </w:r>
          </w:p>
        </w:tc>
        <w:tc>
          <w:tcPr>
            <w:tcW w:w="1560" w:type="dxa"/>
            <w:tcBorders>
              <w:top w:val="single" w:sz="5" w:space="0" w:color="CCCCCC"/>
              <w:left w:val="single" w:sz="5" w:space="0" w:color="CCCCCC"/>
              <w:bottom w:val="single" w:sz="5" w:space="0" w:color="000000"/>
              <w:right w:val="single" w:sz="5" w:space="0" w:color="000000"/>
            </w:tcBorders>
            <w:shd w:val="clear" w:color="auto" w:fill="F6F8F9"/>
            <w:tcMar>
              <w:top w:w="40" w:type="dxa"/>
              <w:left w:w="120" w:type="dxa"/>
              <w:bottom w:w="40" w:type="dxa"/>
              <w:right w:w="120" w:type="dxa"/>
            </w:tcMar>
            <w:vAlign w:val="center"/>
          </w:tcPr>
          <w:p w14:paraId="37442E49" w14:textId="77777777" w:rsidR="00091C11" w:rsidRDefault="00000000">
            <w:pPr>
              <w:widowControl w:val="0"/>
              <w:jc w:val="right"/>
              <w:rPr>
                <w:sz w:val="20"/>
                <w:szCs w:val="20"/>
              </w:rPr>
            </w:pPr>
            <w:r>
              <w:rPr>
                <w:sz w:val="20"/>
                <w:szCs w:val="20"/>
              </w:rPr>
              <w:t>6,25%</w:t>
            </w:r>
          </w:p>
        </w:tc>
      </w:tr>
      <w:tr w:rsidR="00091C11" w14:paraId="78409B69" w14:textId="77777777">
        <w:trPr>
          <w:trHeight w:val="315"/>
        </w:trPr>
        <w:tc>
          <w:tcPr>
            <w:tcW w:w="1485" w:type="dxa"/>
            <w:tcBorders>
              <w:top w:val="single" w:sz="5" w:space="0" w:color="CCCCCC"/>
              <w:left w:val="single" w:sz="5" w:space="0" w:color="000000"/>
              <w:bottom w:val="single" w:sz="5" w:space="0" w:color="000000"/>
              <w:right w:val="single" w:sz="5" w:space="0" w:color="000000"/>
            </w:tcBorders>
            <w:shd w:val="clear" w:color="auto" w:fill="FFFFFF"/>
            <w:tcMar>
              <w:top w:w="40" w:type="dxa"/>
              <w:left w:w="120" w:type="dxa"/>
              <w:bottom w:w="40" w:type="dxa"/>
              <w:right w:w="120" w:type="dxa"/>
            </w:tcMar>
            <w:vAlign w:val="center"/>
          </w:tcPr>
          <w:p w14:paraId="07729883" w14:textId="77777777" w:rsidR="00091C11" w:rsidRDefault="00000000">
            <w:pPr>
              <w:widowControl w:val="0"/>
              <w:rPr>
                <w:sz w:val="20"/>
                <w:szCs w:val="20"/>
              </w:rPr>
            </w:pPr>
            <w:r>
              <w:rPr>
                <w:sz w:val="20"/>
                <w:szCs w:val="20"/>
              </w:rPr>
              <w:t>Adulto</w:t>
            </w:r>
          </w:p>
        </w:tc>
        <w:tc>
          <w:tcPr>
            <w:tcW w:w="1290" w:type="dxa"/>
            <w:tcBorders>
              <w:top w:val="single" w:sz="5" w:space="0" w:color="CCCCCC"/>
              <w:left w:val="single" w:sz="5" w:space="0" w:color="CCCCCC"/>
              <w:bottom w:val="single" w:sz="5" w:space="0" w:color="000000"/>
              <w:right w:val="single" w:sz="5" w:space="0" w:color="000000"/>
            </w:tcBorders>
            <w:shd w:val="clear" w:color="auto" w:fill="FFFFFF"/>
            <w:tcMar>
              <w:top w:w="40" w:type="dxa"/>
              <w:left w:w="120" w:type="dxa"/>
              <w:bottom w:w="40" w:type="dxa"/>
              <w:right w:w="120" w:type="dxa"/>
            </w:tcMar>
            <w:vAlign w:val="center"/>
          </w:tcPr>
          <w:p w14:paraId="525186EC" w14:textId="77777777" w:rsidR="00091C11" w:rsidRDefault="00000000">
            <w:pPr>
              <w:widowControl w:val="0"/>
              <w:rPr>
                <w:sz w:val="20"/>
                <w:szCs w:val="20"/>
              </w:rPr>
            </w:pPr>
            <w:r>
              <w:rPr>
                <w:sz w:val="20"/>
                <w:szCs w:val="20"/>
              </w:rPr>
              <w:t>3-10</w:t>
            </w:r>
          </w:p>
        </w:tc>
        <w:tc>
          <w:tcPr>
            <w:tcW w:w="1215" w:type="dxa"/>
            <w:tcBorders>
              <w:top w:val="single" w:sz="5" w:space="0" w:color="CCCCCC"/>
              <w:left w:val="single" w:sz="5" w:space="0" w:color="CCCCCC"/>
              <w:bottom w:val="single" w:sz="5" w:space="0" w:color="000000"/>
              <w:right w:val="single" w:sz="5" w:space="0" w:color="000000"/>
            </w:tcBorders>
            <w:shd w:val="clear" w:color="auto" w:fill="FFFFFF"/>
            <w:tcMar>
              <w:top w:w="40" w:type="dxa"/>
              <w:left w:w="120" w:type="dxa"/>
              <w:bottom w:w="40" w:type="dxa"/>
              <w:right w:w="120" w:type="dxa"/>
            </w:tcMar>
            <w:vAlign w:val="center"/>
          </w:tcPr>
          <w:p w14:paraId="1CB1E174" w14:textId="77777777" w:rsidR="00091C11" w:rsidRDefault="00000000">
            <w:pPr>
              <w:widowControl w:val="0"/>
              <w:rPr>
                <w:sz w:val="20"/>
                <w:szCs w:val="20"/>
              </w:rPr>
            </w:pPr>
            <w:r>
              <w:rPr>
                <w:sz w:val="20"/>
                <w:szCs w:val="20"/>
              </w:rPr>
              <w:t>59</w:t>
            </w:r>
          </w:p>
        </w:tc>
        <w:tc>
          <w:tcPr>
            <w:tcW w:w="1695" w:type="dxa"/>
            <w:tcBorders>
              <w:top w:val="single" w:sz="5" w:space="0" w:color="CCCCCC"/>
              <w:left w:val="single" w:sz="5" w:space="0" w:color="CCCCCC"/>
              <w:bottom w:val="single" w:sz="5" w:space="0" w:color="000000"/>
              <w:right w:val="single" w:sz="5" w:space="0" w:color="000000"/>
            </w:tcBorders>
            <w:shd w:val="clear" w:color="auto" w:fill="FFFFFF"/>
            <w:tcMar>
              <w:top w:w="40" w:type="dxa"/>
              <w:left w:w="120" w:type="dxa"/>
              <w:bottom w:w="40" w:type="dxa"/>
              <w:right w:w="120" w:type="dxa"/>
            </w:tcMar>
            <w:vAlign w:val="center"/>
          </w:tcPr>
          <w:p w14:paraId="6F22F12F" w14:textId="77777777" w:rsidR="00091C11" w:rsidRDefault="00000000">
            <w:pPr>
              <w:widowControl w:val="0"/>
              <w:jc w:val="right"/>
              <w:rPr>
                <w:sz w:val="20"/>
                <w:szCs w:val="20"/>
              </w:rPr>
            </w:pPr>
            <w:r>
              <w:rPr>
                <w:sz w:val="20"/>
                <w:szCs w:val="20"/>
              </w:rPr>
              <w:t>30,51%</w:t>
            </w:r>
          </w:p>
        </w:tc>
        <w:tc>
          <w:tcPr>
            <w:tcW w:w="1755" w:type="dxa"/>
            <w:tcBorders>
              <w:top w:val="single" w:sz="5" w:space="0" w:color="CCCCCC"/>
              <w:left w:val="single" w:sz="5" w:space="0" w:color="CCCCCC"/>
              <w:bottom w:val="single" w:sz="5" w:space="0" w:color="000000"/>
              <w:right w:val="single" w:sz="5" w:space="0" w:color="000000"/>
            </w:tcBorders>
            <w:shd w:val="clear" w:color="auto" w:fill="FFFFFF"/>
            <w:tcMar>
              <w:top w:w="40" w:type="dxa"/>
              <w:left w:w="120" w:type="dxa"/>
              <w:bottom w:w="40" w:type="dxa"/>
              <w:right w:w="120" w:type="dxa"/>
            </w:tcMar>
            <w:vAlign w:val="center"/>
          </w:tcPr>
          <w:p w14:paraId="2A8B944F" w14:textId="77777777" w:rsidR="00091C11" w:rsidRDefault="00000000">
            <w:pPr>
              <w:widowControl w:val="0"/>
              <w:jc w:val="right"/>
              <w:rPr>
                <w:sz w:val="20"/>
                <w:szCs w:val="20"/>
              </w:rPr>
            </w:pPr>
            <w:r>
              <w:rPr>
                <w:sz w:val="20"/>
                <w:szCs w:val="20"/>
              </w:rPr>
              <w:t>59,32%</w:t>
            </w:r>
          </w:p>
        </w:tc>
        <w:tc>
          <w:tcPr>
            <w:tcW w:w="1560" w:type="dxa"/>
            <w:tcBorders>
              <w:top w:val="single" w:sz="5" w:space="0" w:color="CCCCCC"/>
              <w:left w:val="single" w:sz="5" w:space="0" w:color="CCCCCC"/>
              <w:bottom w:val="single" w:sz="5" w:space="0" w:color="000000"/>
              <w:right w:val="single" w:sz="5" w:space="0" w:color="000000"/>
            </w:tcBorders>
            <w:shd w:val="clear" w:color="auto" w:fill="FFFFFF"/>
            <w:tcMar>
              <w:top w:w="40" w:type="dxa"/>
              <w:left w:w="120" w:type="dxa"/>
              <w:bottom w:w="40" w:type="dxa"/>
              <w:right w:w="120" w:type="dxa"/>
            </w:tcMar>
            <w:vAlign w:val="center"/>
          </w:tcPr>
          <w:p w14:paraId="47C55452" w14:textId="77777777" w:rsidR="00091C11" w:rsidRDefault="00000000">
            <w:pPr>
              <w:widowControl w:val="0"/>
              <w:jc w:val="right"/>
              <w:rPr>
                <w:sz w:val="20"/>
                <w:szCs w:val="20"/>
              </w:rPr>
            </w:pPr>
            <w:r>
              <w:rPr>
                <w:sz w:val="20"/>
                <w:szCs w:val="20"/>
              </w:rPr>
              <w:t>10,17%</w:t>
            </w:r>
          </w:p>
        </w:tc>
      </w:tr>
      <w:tr w:rsidR="00091C11" w14:paraId="41E3C50E" w14:textId="77777777">
        <w:trPr>
          <w:trHeight w:val="315"/>
        </w:trPr>
        <w:tc>
          <w:tcPr>
            <w:tcW w:w="1485" w:type="dxa"/>
            <w:tcBorders>
              <w:top w:val="single" w:sz="5" w:space="0" w:color="CCCCCC"/>
              <w:left w:val="single" w:sz="5" w:space="0" w:color="000000"/>
              <w:bottom w:val="single" w:sz="5" w:space="0" w:color="000000"/>
              <w:right w:val="single" w:sz="5" w:space="0" w:color="000000"/>
            </w:tcBorders>
            <w:shd w:val="clear" w:color="auto" w:fill="F6F8F9"/>
            <w:tcMar>
              <w:top w:w="40" w:type="dxa"/>
              <w:left w:w="120" w:type="dxa"/>
              <w:bottom w:w="40" w:type="dxa"/>
              <w:right w:w="120" w:type="dxa"/>
            </w:tcMar>
            <w:vAlign w:val="center"/>
          </w:tcPr>
          <w:p w14:paraId="6197123D" w14:textId="77777777" w:rsidR="00091C11" w:rsidRDefault="00000000">
            <w:pPr>
              <w:widowControl w:val="0"/>
              <w:rPr>
                <w:sz w:val="20"/>
                <w:szCs w:val="20"/>
              </w:rPr>
            </w:pPr>
            <w:r>
              <w:rPr>
                <w:sz w:val="20"/>
                <w:szCs w:val="20"/>
              </w:rPr>
              <w:t>Senil</w:t>
            </w:r>
          </w:p>
        </w:tc>
        <w:tc>
          <w:tcPr>
            <w:tcW w:w="1290" w:type="dxa"/>
            <w:tcBorders>
              <w:top w:val="single" w:sz="5" w:space="0" w:color="CCCCCC"/>
              <w:left w:val="single" w:sz="5" w:space="0" w:color="CCCCCC"/>
              <w:bottom w:val="single" w:sz="5" w:space="0" w:color="000000"/>
              <w:right w:val="single" w:sz="5" w:space="0" w:color="000000"/>
            </w:tcBorders>
            <w:shd w:val="clear" w:color="auto" w:fill="F6F8F9"/>
            <w:tcMar>
              <w:top w:w="40" w:type="dxa"/>
              <w:left w:w="120" w:type="dxa"/>
              <w:bottom w:w="40" w:type="dxa"/>
              <w:right w:w="120" w:type="dxa"/>
            </w:tcMar>
            <w:vAlign w:val="center"/>
          </w:tcPr>
          <w:p w14:paraId="7BA39B2D" w14:textId="77777777" w:rsidR="00091C11" w:rsidRDefault="00000000">
            <w:pPr>
              <w:widowControl w:val="0"/>
              <w:rPr>
                <w:sz w:val="20"/>
                <w:szCs w:val="20"/>
              </w:rPr>
            </w:pPr>
            <w:r>
              <w:rPr>
                <w:sz w:val="20"/>
                <w:szCs w:val="20"/>
              </w:rPr>
              <w:t>10 ou mais</w:t>
            </w:r>
          </w:p>
        </w:tc>
        <w:tc>
          <w:tcPr>
            <w:tcW w:w="1215" w:type="dxa"/>
            <w:tcBorders>
              <w:top w:val="single" w:sz="5" w:space="0" w:color="CCCCCC"/>
              <w:left w:val="single" w:sz="5" w:space="0" w:color="CCCCCC"/>
              <w:bottom w:val="single" w:sz="5" w:space="0" w:color="000000"/>
              <w:right w:val="single" w:sz="5" w:space="0" w:color="000000"/>
            </w:tcBorders>
            <w:shd w:val="clear" w:color="auto" w:fill="F6F8F9"/>
            <w:tcMar>
              <w:top w:w="40" w:type="dxa"/>
              <w:left w:w="120" w:type="dxa"/>
              <w:bottom w:w="40" w:type="dxa"/>
              <w:right w:w="120" w:type="dxa"/>
            </w:tcMar>
            <w:vAlign w:val="center"/>
          </w:tcPr>
          <w:p w14:paraId="4E851890" w14:textId="77777777" w:rsidR="00091C11" w:rsidRDefault="00000000">
            <w:pPr>
              <w:widowControl w:val="0"/>
              <w:rPr>
                <w:sz w:val="20"/>
                <w:szCs w:val="20"/>
              </w:rPr>
            </w:pPr>
            <w:r>
              <w:rPr>
                <w:sz w:val="20"/>
                <w:szCs w:val="20"/>
              </w:rPr>
              <w:t>21</w:t>
            </w:r>
          </w:p>
        </w:tc>
        <w:tc>
          <w:tcPr>
            <w:tcW w:w="1695" w:type="dxa"/>
            <w:tcBorders>
              <w:top w:val="single" w:sz="5" w:space="0" w:color="CCCCCC"/>
              <w:left w:val="single" w:sz="5" w:space="0" w:color="CCCCCC"/>
              <w:bottom w:val="single" w:sz="5" w:space="0" w:color="000000"/>
              <w:right w:val="single" w:sz="5" w:space="0" w:color="000000"/>
            </w:tcBorders>
            <w:shd w:val="clear" w:color="auto" w:fill="F6F8F9"/>
            <w:tcMar>
              <w:top w:w="40" w:type="dxa"/>
              <w:left w:w="120" w:type="dxa"/>
              <w:bottom w:w="40" w:type="dxa"/>
              <w:right w:w="120" w:type="dxa"/>
            </w:tcMar>
            <w:vAlign w:val="center"/>
          </w:tcPr>
          <w:p w14:paraId="630C38E2" w14:textId="77777777" w:rsidR="00091C11" w:rsidRDefault="00000000">
            <w:pPr>
              <w:widowControl w:val="0"/>
              <w:jc w:val="right"/>
              <w:rPr>
                <w:sz w:val="20"/>
                <w:szCs w:val="20"/>
              </w:rPr>
            </w:pPr>
            <w:r>
              <w:rPr>
                <w:sz w:val="20"/>
                <w:szCs w:val="20"/>
              </w:rPr>
              <w:t>33,33%</w:t>
            </w:r>
          </w:p>
        </w:tc>
        <w:tc>
          <w:tcPr>
            <w:tcW w:w="1755" w:type="dxa"/>
            <w:tcBorders>
              <w:top w:val="single" w:sz="5" w:space="0" w:color="CCCCCC"/>
              <w:left w:val="single" w:sz="5" w:space="0" w:color="CCCCCC"/>
              <w:bottom w:val="single" w:sz="5" w:space="0" w:color="000000"/>
              <w:right w:val="single" w:sz="5" w:space="0" w:color="000000"/>
            </w:tcBorders>
            <w:shd w:val="clear" w:color="auto" w:fill="F6F8F9"/>
            <w:tcMar>
              <w:top w:w="40" w:type="dxa"/>
              <w:left w:w="120" w:type="dxa"/>
              <w:bottom w:w="40" w:type="dxa"/>
              <w:right w:w="120" w:type="dxa"/>
            </w:tcMar>
            <w:vAlign w:val="center"/>
          </w:tcPr>
          <w:p w14:paraId="66EF1782" w14:textId="77777777" w:rsidR="00091C11" w:rsidRDefault="00000000">
            <w:pPr>
              <w:widowControl w:val="0"/>
              <w:jc w:val="right"/>
              <w:rPr>
                <w:sz w:val="20"/>
                <w:szCs w:val="20"/>
              </w:rPr>
            </w:pPr>
            <w:r>
              <w:rPr>
                <w:sz w:val="20"/>
                <w:szCs w:val="20"/>
              </w:rPr>
              <w:t>57,14%</w:t>
            </w:r>
          </w:p>
        </w:tc>
        <w:tc>
          <w:tcPr>
            <w:tcW w:w="1560" w:type="dxa"/>
            <w:tcBorders>
              <w:top w:val="single" w:sz="5" w:space="0" w:color="CCCCCC"/>
              <w:left w:val="single" w:sz="5" w:space="0" w:color="CCCCCC"/>
              <w:bottom w:val="single" w:sz="5" w:space="0" w:color="000000"/>
              <w:right w:val="single" w:sz="5" w:space="0" w:color="000000"/>
            </w:tcBorders>
            <w:shd w:val="clear" w:color="auto" w:fill="F6F8F9"/>
            <w:tcMar>
              <w:top w:w="40" w:type="dxa"/>
              <w:left w:w="120" w:type="dxa"/>
              <w:bottom w:w="40" w:type="dxa"/>
              <w:right w:w="120" w:type="dxa"/>
            </w:tcMar>
            <w:vAlign w:val="center"/>
          </w:tcPr>
          <w:p w14:paraId="7D65B528" w14:textId="77777777" w:rsidR="00091C11" w:rsidRDefault="00000000">
            <w:pPr>
              <w:widowControl w:val="0"/>
              <w:jc w:val="right"/>
              <w:rPr>
                <w:sz w:val="20"/>
                <w:szCs w:val="20"/>
              </w:rPr>
            </w:pPr>
            <w:r>
              <w:rPr>
                <w:sz w:val="20"/>
                <w:szCs w:val="20"/>
              </w:rPr>
              <w:t>9,52%</w:t>
            </w:r>
          </w:p>
        </w:tc>
      </w:tr>
    </w:tbl>
    <w:p w14:paraId="5A0B77C9" w14:textId="77777777" w:rsidR="00091C11" w:rsidRDefault="00091C11">
      <w:pPr>
        <w:spacing w:line="360" w:lineRule="auto"/>
        <w:jc w:val="both"/>
        <w:rPr>
          <w:sz w:val="24"/>
          <w:szCs w:val="24"/>
        </w:rPr>
      </w:pPr>
    </w:p>
    <w:p w14:paraId="04FF41B9" w14:textId="77777777" w:rsidR="00091C11" w:rsidRDefault="00000000">
      <w:pPr>
        <w:spacing w:line="360" w:lineRule="auto"/>
        <w:jc w:val="both"/>
        <w:rPr>
          <w:sz w:val="24"/>
          <w:szCs w:val="24"/>
        </w:rPr>
      </w:pPr>
      <w:r>
        <w:rPr>
          <w:sz w:val="24"/>
          <w:szCs w:val="24"/>
        </w:rPr>
        <w:t>DISCUSSÃO</w:t>
      </w:r>
    </w:p>
    <w:p w14:paraId="4F8918AB" w14:textId="77777777" w:rsidR="00091C11" w:rsidRDefault="00000000">
      <w:pPr>
        <w:spacing w:line="360" w:lineRule="auto"/>
        <w:jc w:val="both"/>
        <w:rPr>
          <w:sz w:val="24"/>
          <w:szCs w:val="24"/>
        </w:rPr>
      </w:pPr>
      <w:r>
        <w:rPr>
          <w:sz w:val="24"/>
          <w:szCs w:val="24"/>
        </w:rPr>
        <w:t xml:space="preserve">A infecção por </w:t>
      </w:r>
      <w:r>
        <w:rPr>
          <w:i/>
          <w:sz w:val="24"/>
          <w:szCs w:val="24"/>
        </w:rPr>
        <w:t>Toxoplasma gondii</w:t>
      </w:r>
      <w:r>
        <w:rPr>
          <w:sz w:val="24"/>
          <w:szCs w:val="24"/>
        </w:rPr>
        <w:t xml:space="preserve"> em felinos varia conforme a faixa etária, influenciada por fatores como hábitos alimentares e exposição ambiental. Estudos indicam que a soroprevalência tende a aumentar com a idade dos gatos.</w:t>
      </w:r>
    </w:p>
    <w:p w14:paraId="59843661" w14:textId="77777777" w:rsidR="00091C11" w:rsidRDefault="00000000">
      <w:pPr>
        <w:spacing w:line="360" w:lineRule="auto"/>
        <w:jc w:val="both"/>
        <w:rPr>
          <w:sz w:val="24"/>
          <w:szCs w:val="24"/>
        </w:rPr>
      </w:pPr>
      <w:r>
        <w:rPr>
          <w:sz w:val="24"/>
          <w:szCs w:val="24"/>
        </w:rPr>
        <w:t xml:space="preserve">Em um estudo realizado por Garcia et al. (1999), observou-se uma prevalência de 73% em 163 amostras de soro </w:t>
      </w:r>
      <w:proofErr w:type="gramStart"/>
      <w:r>
        <w:rPr>
          <w:sz w:val="24"/>
          <w:szCs w:val="24"/>
        </w:rPr>
        <w:t>de  felino</w:t>
      </w:r>
      <w:proofErr w:type="gramEnd"/>
      <w:r>
        <w:rPr>
          <w:sz w:val="24"/>
          <w:szCs w:val="24"/>
        </w:rPr>
        <w:t xml:space="preserve">, com aumento da soropositividade conforme a idade. Outro estudo, realizado por Lucas et al. (1998), revelou que 81,8% dos gatos infectados pelo vírus da imunodeficiência felina (FIV) tinham idade superior a 2 anos, dos quais 55,6% foram positivos para </w:t>
      </w:r>
      <w:r>
        <w:rPr>
          <w:i/>
          <w:sz w:val="24"/>
          <w:szCs w:val="24"/>
        </w:rPr>
        <w:t>T. gondii</w:t>
      </w:r>
      <w:r>
        <w:rPr>
          <w:sz w:val="24"/>
          <w:szCs w:val="24"/>
        </w:rPr>
        <w:t xml:space="preserve">. Uma pesquisa realizada por Souza et al. (2020), encontrou uma soroprevalência de 21,92% em gatos domésticos, com associação estatisticamente significativa entre idade e sorologia positiva: 12,82% dos animais até 1 ano eram positivos, enquanto 26,80% dos gatos com mais de 1 ano apresentavam soropositividade. </w:t>
      </w:r>
    </w:p>
    <w:p w14:paraId="40271469" w14:textId="77777777" w:rsidR="00091C11" w:rsidRDefault="00000000">
      <w:pPr>
        <w:spacing w:line="360" w:lineRule="auto"/>
        <w:jc w:val="both"/>
        <w:rPr>
          <w:sz w:val="24"/>
          <w:szCs w:val="24"/>
        </w:rPr>
      </w:pPr>
      <w:r>
        <w:rPr>
          <w:sz w:val="24"/>
          <w:szCs w:val="24"/>
        </w:rPr>
        <w:t xml:space="preserve">Esses dados, assim como os dados analisados no presente artigo, sugerem que gatos mais velhos têm maior probabilidade de exposição ao </w:t>
      </w:r>
      <w:r>
        <w:rPr>
          <w:i/>
          <w:sz w:val="24"/>
          <w:szCs w:val="24"/>
        </w:rPr>
        <w:t>T. gondii</w:t>
      </w:r>
      <w:r>
        <w:rPr>
          <w:sz w:val="24"/>
          <w:szCs w:val="24"/>
        </w:rPr>
        <w:t>, possivelmente devido ao acúmulo de oportunidades de infecção ao longo da vida. Neste estudo, podemos sugerir que hospedeiros intermediários, roedores por exemplo, podem ter apresentado a infecção, e consequentemente, serviram como fonte de infecção para os hospedeiros definitivos</w:t>
      </w:r>
    </w:p>
    <w:p w14:paraId="3646CC93" w14:textId="77777777" w:rsidR="00091C11" w:rsidRDefault="00091C11">
      <w:pPr>
        <w:spacing w:line="360" w:lineRule="auto"/>
        <w:ind w:firstLine="720"/>
        <w:jc w:val="both"/>
        <w:rPr>
          <w:sz w:val="24"/>
          <w:szCs w:val="24"/>
        </w:rPr>
      </w:pPr>
    </w:p>
    <w:p w14:paraId="5522E15E" w14:textId="77777777" w:rsidR="00091C11" w:rsidRDefault="00000000">
      <w:pPr>
        <w:spacing w:line="360" w:lineRule="auto"/>
        <w:jc w:val="both"/>
        <w:rPr>
          <w:sz w:val="24"/>
          <w:szCs w:val="24"/>
        </w:rPr>
      </w:pPr>
      <w:r>
        <w:rPr>
          <w:sz w:val="24"/>
          <w:szCs w:val="24"/>
        </w:rPr>
        <w:t>CONCLUSÃO</w:t>
      </w:r>
      <w:r>
        <w:rPr>
          <w:sz w:val="24"/>
          <w:szCs w:val="24"/>
        </w:rPr>
        <w:br/>
        <w:t xml:space="preserve">O presente estudo destaca a importância dos felinos na epidemiologia de </w:t>
      </w:r>
      <w:r>
        <w:rPr>
          <w:i/>
          <w:sz w:val="24"/>
          <w:szCs w:val="24"/>
        </w:rPr>
        <w:t>Toxoplasma gondii</w:t>
      </w:r>
      <w:r>
        <w:rPr>
          <w:sz w:val="24"/>
          <w:szCs w:val="24"/>
        </w:rPr>
        <w:t xml:space="preserve">, reforçando o papel crucial desses animais na manutenção do ciclo do parasito, especialmente após o maior surto de toxoplasmose humana registrado em Santa Maria/RS em 2018. A análise dos dados sorológicos demonstra que a soropositividade em felinos aumenta nas faixas etárias jovens, adultas e senis, </w:t>
      </w:r>
      <w:r>
        <w:rPr>
          <w:sz w:val="24"/>
          <w:szCs w:val="24"/>
        </w:rPr>
        <w:lastRenderedPageBreak/>
        <w:t>sugerindo uma relação entre idade e exposição cumulativa ao parasita ao longo da vida. Esses resultados corroboram estudos anteriores que indicam maior probabilidade de infecção em gatos mais velhos, possivelmente devido à maior exposição ambiental, hábitos alimentares, e maior tempo de vida para acumular oportunidades de infecção. Além disso, os dados reforçam a necessidade de estratégias de controle e prevenção da toxoplasmose, como o manejo adequado de animais domésticos e a garantia de acesso à água potável e alimentos seguros, não apenas para mitigar o risco em humanos, mas também para proteger a saúde dos felinos.</w:t>
      </w:r>
    </w:p>
    <w:p w14:paraId="362CB54E" w14:textId="77777777" w:rsidR="00091C11" w:rsidRDefault="00091C11">
      <w:pPr>
        <w:spacing w:line="360" w:lineRule="auto"/>
        <w:jc w:val="both"/>
        <w:rPr>
          <w:sz w:val="24"/>
          <w:szCs w:val="24"/>
        </w:rPr>
      </w:pPr>
    </w:p>
    <w:p w14:paraId="6C344939" w14:textId="77777777" w:rsidR="00091C11" w:rsidRDefault="00000000">
      <w:pPr>
        <w:spacing w:line="360" w:lineRule="auto"/>
        <w:jc w:val="both"/>
        <w:rPr>
          <w:sz w:val="24"/>
          <w:szCs w:val="24"/>
        </w:rPr>
      </w:pPr>
      <w:r>
        <w:rPr>
          <w:sz w:val="24"/>
          <w:szCs w:val="24"/>
        </w:rPr>
        <w:t>REFERÊNCIAS</w:t>
      </w:r>
    </w:p>
    <w:p w14:paraId="2CEA1262" w14:textId="77777777" w:rsidR="00091C11" w:rsidRPr="003C6F9F" w:rsidRDefault="00000000">
      <w:pPr>
        <w:spacing w:before="240" w:after="240" w:line="360" w:lineRule="auto"/>
        <w:jc w:val="both"/>
        <w:rPr>
          <w:sz w:val="24"/>
          <w:szCs w:val="24"/>
          <w:lang w:val="en-US"/>
        </w:rPr>
      </w:pPr>
      <w:r>
        <w:rPr>
          <w:sz w:val="24"/>
          <w:szCs w:val="24"/>
        </w:rPr>
        <w:t xml:space="preserve">ARQUILLA B., et al. </w:t>
      </w:r>
      <w:r w:rsidRPr="003C6F9F">
        <w:rPr>
          <w:sz w:val="24"/>
          <w:szCs w:val="24"/>
          <w:lang w:val="en-US"/>
        </w:rPr>
        <w:t xml:space="preserve">Outbreak of toxoplasmosis in the City of Santa Maria. Brazil. J Infect Prev Med, vol.7, n.191, 2019. </w:t>
      </w:r>
      <w:proofErr w:type="spellStart"/>
      <w:r w:rsidRPr="003C6F9F">
        <w:rPr>
          <w:sz w:val="24"/>
          <w:szCs w:val="24"/>
          <w:lang w:val="en-US"/>
        </w:rPr>
        <w:t>doi</w:t>
      </w:r>
      <w:proofErr w:type="spellEnd"/>
      <w:r w:rsidRPr="003C6F9F">
        <w:rPr>
          <w:sz w:val="24"/>
          <w:szCs w:val="24"/>
          <w:lang w:val="en-US"/>
        </w:rPr>
        <w:t>: https://doi.org/10.35248/2329-8731.19. 07.191</w:t>
      </w:r>
    </w:p>
    <w:p w14:paraId="2AD00B0D" w14:textId="77777777" w:rsidR="00091C11" w:rsidRDefault="00000000">
      <w:pPr>
        <w:spacing w:before="240" w:after="240" w:line="360" w:lineRule="auto"/>
        <w:jc w:val="both"/>
        <w:rPr>
          <w:sz w:val="24"/>
          <w:szCs w:val="24"/>
        </w:rPr>
      </w:pPr>
      <w:r w:rsidRPr="003C6F9F">
        <w:rPr>
          <w:sz w:val="24"/>
          <w:szCs w:val="24"/>
          <w:lang w:val="en-US"/>
        </w:rPr>
        <w:t xml:space="preserve">ARRUDA, F. </w:t>
      </w:r>
      <w:r w:rsidRPr="003C6F9F">
        <w:rPr>
          <w:i/>
          <w:sz w:val="24"/>
          <w:szCs w:val="24"/>
          <w:lang w:val="en-US"/>
        </w:rPr>
        <w:t xml:space="preserve">Toxoplasma gondii </w:t>
      </w:r>
      <w:r w:rsidRPr="003C6F9F">
        <w:rPr>
          <w:sz w:val="24"/>
          <w:szCs w:val="24"/>
          <w:lang w:val="en-US"/>
        </w:rPr>
        <w:t xml:space="preserve">and </w:t>
      </w:r>
      <w:proofErr w:type="spellStart"/>
      <w:r w:rsidRPr="003C6F9F">
        <w:rPr>
          <w:sz w:val="24"/>
          <w:szCs w:val="24"/>
          <w:lang w:val="en-US"/>
        </w:rPr>
        <w:t>Neospora</w:t>
      </w:r>
      <w:proofErr w:type="spellEnd"/>
      <w:r w:rsidRPr="003C6F9F">
        <w:rPr>
          <w:sz w:val="24"/>
          <w:szCs w:val="24"/>
          <w:lang w:val="en-US"/>
        </w:rPr>
        <w:t xml:space="preserve"> caninum in domestic cats from the Brazilian semi-arid: seroprevalence and risk factors. </w:t>
      </w:r>
      <w:r>
        <w:rPr>
          <w:sz w:val="24"/>
          <w:szCs w:val="24"/>
        </w:rPr>
        <w:t xml:space="preserve">Revista Brasileira de Parasitologia Veterinária, v. 29, n. 2, 2020. </w:t>
      </w:r>
      <w:proofErr w:type="spellStart"/>
      <w:r>
        <w:rPr>
          <w:sz w:val="24"/>
          <w:szCs w:val="24"/>
        </w:rPr>
        <w:t>doi</w:t>
      </w:r>
      <w:proofErr w:type="spellEnd"/>
      <w:r>
        <w:rPr>
          <w:sz w:val="24"/>
          <w:szCs w:val="24"/>
        </w:rPr>
        <w:t xml:space="preserve">: </w:t>
      </w:r>
      <w:hyperlink r:id="rId5">
        <w:r w:rsidR="00091C11">
          <w:rPr>
            <w:sz w:val="24"/>
            <w:szCs w:val="24"/>
          </w:rPr>
          <w:t>https://doi.org/10.1590/S1984-29612020038</w:t>
        </w:r>
      </w:hyperlink>
      <w:r>
        <w:rPr>
          <w:sz w:val="24"/>
          <w:szCs w:val="24"/>
        </w:rPr>
        <w:t xml:space="preserve">. </w:t>
      </w:r>
    </w:p>
    <w:p w14:paraId="0A44B636" w14:textId="77777777" w:rsidR="00091C11" w:rsidRPr="003C6F9F" w:rsidRDefault="00000000">
      <w:pPr>
        <w:spacing w:before="240" w:after="240" w:line="360" w:lineRule="auto"/>
        <w:jc w:val="both"/>
        <w:rPr>
          <w:sz w:val="24"/>
          <w:szCs w:val="24"/>
          <w:lang w:val="en-US"/>
        </w:rPr>
      </w:pPr>
      <w:r>
        <w:rPr>
          <w:sz w:val="24"/>
          <w:szCs w:val="24"/>
          <w:highlight w:val="white"/>
        </w:rPr>
        <w:t xml:space="preserve">ARRUDA, I. F. et al. </w:t>
      </w:r>
      <w:r w:rsidRPr="003C6F9F">
        <w:rPr>
          <w:i/>
          <w:sz w:val="24"/>
          <w:szCs w:val="24"/>
          <w:highlight w:val="white"/>
          <w:lang w:val="en-US"/>
        </w:rPr>
        <w:t>Toxoplasma gondii</w:t>
      </w:r>
      <w:r w:rsidRPr="003C6F9F">
        <w:rPr>
          <w:sz w:val="24"/>
          <w:szCs w:val="24"/>
          <w:highlight w:val="white"/>
          <w:lang w:val="en-US"/>
        </w:rPr>
        <w:t xml:space="preserve"> in domiciled dogs and cats in urban areas of Brazil: risk factors and spatial distribution. Parasite (Paris, France) vol. 28, n. 56, 2021. doi:10.1051/parasite/2021049</w:t>
      </w:r>
    </w:p>
    <w:p w14:paraId="090EE9D9" w14:textId="77777777" w:rsidR="00091C11" w:rsidRPr="003C6F9F" w:rsidRDefault="00000000">
      <w:pPr>
        <w:spacing w:before="240" w:after="240" w:line="360" w:lineRule="auto"/>
        <w:jc w:val="both"/>
        <w:rPr>
          <w:sz w:val="24"/>
          <w:szCs w:val="24"/>
          <w:lang w:val="en-US"/>
        </w:rPr>
      </w:pPr>
      <w:r w:rsidRPr="003C6F9F">
        <w:rPr>
          <w:sz w:val="24"/>
          <w:szCs w:val="24"/>
          <w:lang w:val="en-US"/>
        </w:rPr>
        <w:t xml:space="preserve">DUBEY, J. P. Toxoplasmosis of animals and humans. 3. ed. Boca Raton: CRC Press, 2021. </w:t>
      </w:r>
      <w:proofErr w:type="spellStart"/>
      <w:r w:rsidRPr="003C6F9F">
        <w:rPr>
          <w:sz w:val="24"/>
          <w:szCs w:val="24"/>
          <w:lang w:val="en-US"/>
        </w:rPr>
        <w:t>doi</w:t>
      </w:r>
      <w:proofErr w:type="spellEnd"/>
      <w:r w:rsidRPr="003C6F9F">
        <w:rPr>
          <w:sz w:val="24"/>
          <w:szCs w:val="24"/>
          <w:lang w:val="en-US"/>
        </w:rPr>
        <w:t>:</w:t>
      </w:r>
      <w:hyperlink r:id="rId6">
        <w:r w:rsidR="00091C11" w:rsidRPr="003C6F9F">
          <w:rPr>
            <w:sz w:val="24"/>
            <w:szCs w:val="24"/>
            <w:lang w:val="en-US"/>
          </w:rPr>
          <w:t xml:space="preserve"> </w:t>
        </w:r>
      </w:hyperlink>
      <w:hyperlink r:id="rId7">
        <w:r w:rsidR="00091C11" w:rsidRPr="003C6F9F">
          <w:rPr>
            <w:sz w:val="24"/>
            <w:szCs w:val="24"/>
            <w:lang w:val="en-US"/>
          </w:rPr>
          <w:t>https://doi.org/10.1201/9781003199373</w:t>
        </w:r>
      </w:hyperlink>
      <w:r w:rsidRPr="003C6F9F">
        <w:rPr>
          <w:sz w:val="24"/>
          <w:szCs w:val="24"/>
          <w:lang w:val="en-US"/>
        </w:rPr>
        <w:t>.</w:t>
      </w:r>
    </w:p>
    <w:p w14:paraId="1C2DCE1A" w14:textId="77777777" w:rsidR="00091C11" w:rsidRPr="003C6F9F" w:rsidRDefault="00000000">
      <w:pPr>
        <w:spacing w:before="240" w:after="240" w:line="360" w:lineRule="auto"/>
        <w:jc w:val="both"/>
        <w:rPr>
          <w:sz w:val="24"/>
          <w:szCs w:val="24"/>
          <w:lang w:val="en-US"/>
        </w:rPr>
      </w:pPr>
      <w:r w:rsidRPr="003C6F9F">
        <w:rPr>
          <w:sz w:val="24"/>
          <w:szCs w:val="24"/>
          <w:highlight w:val="white"/>
          <w:lang w:val="en-US"/>
        </w:rPr>
        <w:t xml:space="preserve">DUBEY, J. P. Duration of immunity to shedding of </w:t>
      </w:r>
      <w:r w:rsidRPr="003C6F9F">
        <w:rPr>
          <w:i/>
          <w:sz w:val="24"/>
          <w:szCs w:val="24"/>
          <w:highlight w:val="white"/>
          <w:lang w:val="en-US"/>
        </w:rPr>
        <w:t>Toxoplasma gondii</w:t>
      </w:r>
      <w:r w:rsidRPr="003C6F9F">
        <w:rPr>
          <w:sz w:val="24"/>
          <w:szCs w:val="24"/>
          <w:highlight w:val="white"/>
          <w:lang w:val="en-US"/>
        </w:rPr>
        <w:t xml:space="preserve"> oocysts by cats. The Journal of parasitology vol. 81,3: 410-5. 1995.</w:t>
      </w:r>
    </w:p>
    <w:p w14:paraId="24486BA0" w14:textId="77777777" w:rsidR="00091C11" w:rsidRPr="003C6F9F" w:rsidRDefault="00000000">
      <w:pPr>
        <w:spacing w:before="240" w:after="240" w:line="360" w:lineRule="auto"/>
        <w:jc w:val="both"/>
        <w:rPr>
          <w:sz w:val="24"/>
          <w:szCs w:val="24"/>
          <w:highlight w:val="white"/>
          <w:lang w:val="en-US"/>
        </w:rPr>
      </w:pPr>
      <w:r w:rsidRPr="003C6F9F">
        <w:rPr>
          <w:sz w:val="24"/>
          <w:szCs w:val="24"/>
          <w:lang w:val="en-US"/>
        </w:rPr>
        <w:t xml:space="preserve">DUBEY, J. P.; JONES, J. L. </w:t>
      </w:r>
      <w:r w:rsidRPr="003C6F9F">
        <w:rPr>
          <w:i/>
          <w:sz w:val="24"/>
          <w:szCs w:val="24"/>
          <w:lang w:val="en-US"/>
        </w:rPr>
        <w:t xml:space="preserve">Toxoplasma gondii </w:t>
      </w:r>
      <w:r w:rsidRPr="003C6F9F">
        <w:rPr>
          <w:sz w:val="24"/>
          <w:szCs w:val="24"/>
          <w:lang w:val="en-US"/>
        </w:rPr>
        <w:t xml:space="preserve">infection in humans and animals in the United States. </w:t>
      </w:r>
      <w:r w:rsidRPr="003C6F9F">
        <w:rPr>
          <w:sz w:val="24"/>
          <w:szCs w:val="24"/>
          <w:highlight w:val="white"/>
          <w:lang w:val="en-US"/>
        </w:rPr>
        <w:t xml:space="preserve">International journal for parasitology vol. 38,11 (2008): 1257-78. </w:t>
      </w:r>
      <w:proofErr w:type="gramStart"/>
      <w:r w:rsidRPr="003C6F9F">
        <w:rPr>
          <w:sz w:val="24"/>
          <w:szCs w:val="24"/>
          <w:highlight w:val="white"/>
          <w:lang w:val="en-US"/>
        </w:rPr>
        <w:t>doi:10.1016/j.ijpara</w:t>
      </w:r>
      <w:proofErr w:type="gramEnd"/>
      <w:r w:rsidRPr="003C6F9F">
        <w:rPr>
          <w:sz w:val="24"/>
          <w:szCs w:val="24"/>
          <w:highlight w:val="white"/>
          <w:lang w:val="en-US"/>
        </w:rPr>
        <w:t>.2008.03.007.</w:t>
      </w:r>
    </w:p>
    <w:p w14:paraId="0955AB1A" w14:textId="77777777" w:rsidR="00091C11" w:rsidRPr="003C6F9F" w:rsidRDefault="00000000">
      <w:pPr>
        <w:spacing w:before="240" w:after="240" w:line="360" w:lineRule="auto"/>
        <w:jc w:val="both"/>
        <w:rPr>
          <w:sz w:val="24"/>
          <w:szCs w:val="24"/>
          <w:highlight w:val="white"/>
          <w:lang w:val="en-US"/>
        </w:rPr>
      </w:pPr>
      <w:r w:rsidRPr="003C6F9F">
        <w:rPr>
          <w:sz w:val="24"/>
          <w:szCs w:val="24"/>
          <w:highlight w:val="white"/>
          <w:lang w:val="en-US"/>
        </w:rPr>
        <w:lastRenderedPageBreak/>
        <w:t xml:space="preserve">DUBEY, J P. Toxoplasmosis - a waterborne zoonosis. Veterinary parasitology vol. 126,1-2 (2004): 57-72. </w:t>
      </w:r>
      <w:proofErr w:type="gramStart"/>
      <w:r w:rsidRPr="003C6F9F">
        <w:rPr>
          <w:sz w:val="24"/>
          <w:szCs w:val="24"/>
          <w:highlight w:val="white"/>
          <w:lang w:val="en-US"/>
        </w:rPr>
        <w:t>doi:10.1016/j.vetpar</w:t>
      </w:r>
      <w:proofErr w:type="gramEnd"/>
      <w:r w:rsidRPr="003C6F9F">
        <w:rPr>
          <w:sz w:val="24"/>
          <w:szCs w:val="24"/>
          <w:highlight w:val="white"/>
          <w:lang w:val="en-US"/>
        </w:rPr>
        <w:t>.2004.09.005</w:t>
      </w:r>
    </w:p>
    <w:p w14:paraId="3691ACFC" w14:textId="77777777" w:rsidR="00091C11" w:rsidRDefault="00000000">
      <w:pPr>
        <w:spacing w:before="240" w:after="240" w:line="360" w:lineRule="auto"/>
        <w:jc w:val="both"/>
        <w:rPr>
          <w:sz w:val="24"/>
          <w:szCs w:val="24"/>
          <w:highlight w:val="white"/>
        </w:rPr>
      </w:pPr>
      <w:r w:rsidRPr="003C6F9F">
        <w:rPr>
          <w:sz w:val="24"/>
          <w:szCs w:val="24"/>
          <w:highlight w:val="white"/>
          <w:lang w:val="en-US"/>
        </w:rPr>
        <w:t xml:space="preserve">FERNANDES, F.D.; SAMOEL, G.V.A.; GUERRA, R.R.; BRAUNIG, P.; MACHADO, D.W.N.; CARGNELUTTI, J.F.; SANGIONI, L.A.; VOGEL, F.S.F. Five years of the biggest outbreak of human toxoplasmosis in Santa Maria, Brazil: a review. </w:t>
      </w:r>
      <w:proofErr w:type="spellStart"/>
      <w:r>
        <w:rPr>
          <w:sz w:val="24"/>
          <w:szCs w:val="24"/>
          <w:highlight w:val="white"/>
        </w:rPr>
        <w:t>Parasitology</w:t>
      </w:r>
      <w:proofErr w:type="spellEnd"/>
      <w:r>
        <w:rPr>
          <w:sz w:val="24"/>
          <w:szCs w:val="24"/>
          <w:highlight w:val="white"/>
        </w:rPr>
        <w:t xml:space="preserve"> </w:t>
      </w:r>
      <w:proofErr w:type="spellStart"/>
      <w:r>
        <w:rPr>
          <w:sz w:val="24"/>
          <w:szCs w:val="24"/>
          <w:highlight w:val="white"/>
        </w:rPr>
        <w:t>Research</w:t>
      </w:r>
      <w:proofErr w:type="spellEnd"/>
      <w:r>
        <w:rPr>
          <w:sz w:val="24"/>
          <w:szCs w:val="24"/>
          <w:highlight w:val="white"/>
        </w:rPr>
        <w:t>, v. 29; n. 23, 76. https:</w:t>
      </w:r>
      <w:r>
        <w:rPr>
          <w:sz w:val="24"/>
          <w:szCs w:val="24"/>
        </w:rPr>
        <w:t>//doi.org/</w:t>
      </w:r>
      <w:r>
        <w:rPr>
          <w:sz w:val="24"/>
          <w:szCs w:val="24"/>
          <w:highlight w:val="white"/>
        </w:rPr>
        <w:t>10.1007/s00436-023-08073-1.</w:t>
      </w:r>
    </w:p>
    <w:p w14:paraId="0DA5FD4B" w14:textId="77777777" w:rsidR="00091C11" w:rsidRDefault="00000000">
      <w:pPr>
        <w:spacing w:before="240" w:after="240" w:line="360" w:lineRule="auto"/>
        <w:jc w:val="both"/>
        <w:rPr>
          <w:b/>
          <w:sz w:val="24"/>
          <w:szCs w:val="24"/>
        </w:rPr>
      </w:pPr>
      <w:r>
        <w:rPr>
          <w:sz w:val="24"/>
          <w:szCs w:val="24"/>
        </w:rPr>
        <w:t xml:space="preserve">GARCIA, J. L.; NAVARRO, I. T.; OGURA, F. T. Prevalência de anticorpos contra </w:t>
      </w:r>
      <w:r>
        <w:rPr>
          <w:i/>
          <w:sz w:val="24"/>
          <w:szCs w:val="24"/>
        </w:rPr>
        <w:t>Toxoplasma gondii</w:t>
      </w:r>
      <w:r>
        <w:rPr>
          <w:sz w:val="24"/>
          <w:szCs w:val="24"/>
        </w:rPr>
        <w:t xml:space="preserve"> em gatos da região de Patos, Paraíba. Arquivo Brasileiro de Medicina Veterinária e Zootecnia, v. 66, n. 4, 2014. </w:t>
      </w:r>
      <w:proofErr w:type="spellStart"/>
      <w:r>
        <w:rPr>
          <w:sz w:val="24"/>
          <w:szCs w:val="24"/>
        </w:rPr>
        <w:t>doi</w:t>
      </w:r>
      <w:proofErr w:type="spellEnd"/>
      <w:r>
        <w:rPr>
          <w:sz w:val="24"/>
          <w:szCs w:val="24"/>
        </w:rPr>
        <w:t>: https://doi.org/10.1590/1678-6696</w:t>
      </w:r>
      <w:r>
        <w:rPr>
          <w:b/>
          <w:sz w:val="24"/>
          <w:szCs w:val="24"/>
        </w:rPr>
        <w:t>.</w:t>
      </w:r>
    </w:p>
    <w:p w14:paraId="33F2CD23" w14:textId="77777777" w:rsidR="00091C11" w:rsidRDefault="00000000">
      <w:pPr>
        <w:spacing w:before="240" w:after="240" w:line="360" w:lineRule="auto"/>
        <w:jc w:val="both"/>
        <w:rPr>
          <w:sz w:val="24"/>
          <w:szCs w:val="24"/>
        </w:rPr>
      </w:pPr>
      <w:r>
        <w:rPr>
          <w:sz w:val="24"/>
          <w:szCs w:val="24"/>
        </w:rPr>
        <w:t xml:space="preserve">LANGONI, H.; et al. Seroprevalência de </w:t>
      </w:r>
      <w:r>
        <w:rPr>
          <w:i/>
          <w:sz w:val="24"/>
          <w:szCs w:val="24"/>
        </w:rPr>
        <w:t>Toxoplasma gondii</w:t>
      </w:r>
      <w:r>
        <w:rPr>
          <w:sz w:val="24"/>
          <w:szCs w:val="24"/>
        </w:rPr>
        <w:t xml:space="preserve"> em felinos de Jaguapitã, Paraná. Ciência Rural, Santa Maria, v. 29, n. 1, 1999. </w:t>
      </w:r>
      <w:proofErr w:type="spellStart"/>
      <w:r>
        <w:rPr>
          <w:sz w:val="24"/>
          <w:szCs w:val="24"/>
        </w:rPr>
        <w:t>doi</w:t>
      </w:r>
      <w:proofErr w:type="spellEnd"/>
      <w:r>
        <w:rPr>
          <w:sz w:val="24"/>
          <w:szCs w:val="24"/>
        </w:rPr>
        <w:t>: https://doi.org/10.1590/S0103-84781999000100018.</w:t>
      </w:r>
    </w:p>
    <w:p w14:paraId="04B4759C" w14:textId="77777777" w:rsidR="00091C11" w:rsidRPr="003C6F9F" w:rsidRDefault="00000000">
      <w:pPr>
        <w:spacing w:before="240" w:after="240" w:line="360" w:lineRule="auto"/>
        <w:jc w:val="both"/>
        <w:rPr>
          <w:sz w:val="24"/>
          <w:szCs w:val="24"/>
          <w:lang w:val="en-US"/>
        </w:rPr>
      </w:pPr>
      <w:r>
        <w:rPr>
          <w:sz w:val="24"/>
          <w:szCs w:val="24"/>
        </w:rPr>
        <w:t xml:space="preserve">LUCAS, S.; ALMEIDA, T.; MARTINS, A. </w:t>
      </w:r>
      <w:proofErr w:type="spellStart"/>
      <w:r>
        <w:rPr>
          <w:sz w:val="24"/>
          <w:szCs w:val="24"/>
        </w:rPr>
        <w:t>Soroepidemiologia</w:t>
      </w:r>
      <w:proofErr w:type="spellEnd"/>
      <w:r>
        <w:rPr>
          <w:sz w:val="24"/>
          <w:szCs w:val="24"/>
        </w:rPr>
        <w:t xml:space="preserve"> da toxoplasmose em felinos. </w:t>
      </w:r>
      <w:r w:rsidRPr="003C6F9F">
        <w:rPr>
          <w:sz w:val="24"/>
          <w:szCs w:val="24"/>
          <w:lang w:val="en-US"/>
        </w:rPr>
        <w:t xml:space="preserve">Brazilian Journal of Veterinary Research and Animal Science, v. 35, n. 1, 1998. </w:t>
      </w:r>
      <w:proofErr w:type="spellStart"/>
      <w:r w:rsidRPr="003C6F9F">
        <w:rPr>
          <w:sz w:val="24"/>
          <w:szCs w:val="24"/>
          <w:lang w:val="en-US"/>
        </w:rPr>
        <w:t>doi</w:t>
      </w:r>
      <w:proofErr w:type="spellEnd"/>
      <w:r w:rsidRPr="003C6F9F">
        <w:rPr>
          <w:sz w:val="24"/>
          <w:szCs w:val="24"/>
          <w:lang w:val="en-US"/>
        </w:rPr>
        <w:t xml:space="preserve">: </w:t>
      </w:r>
      <w:hyperlink r:id="rId8">
        <w:r w:rsidR="00091C11" w:rsidRPr="003C6F9F">
          <w:rPr>
            <w:color w:val="1155CC"/>
            <w:sz w:val="24"/>
            <w:szCs w:val="24"/>
            <w:u w:val="single"/>
            <w:lang w:val="en-US"/>
          </w:rPr>
          <w:t>https://doi.org/10.1590/S1413-95961998000100008</w:t>
        </w:r>
      </w:hyperlink>
      <w:r w:rsidRPr="003C6F9F">
        <w:rPr>
          <w:sz w:val="24"/>
          <w:szCs w:val="24"/>
          <w:lang w:val="en-US"/>
        </w:rPr>
        <w:t>.</w:t>
      </w:r>
    </w:p>
    <w:p w14:paraId="1A109680" w14:textId="77777777" w:rsidR="00091C11" w:rsidRDefault="00000000">
      <w:pPr>
        <w:spacing w:before="240" w:after="240" w:line="360" w:lineRule="auto"/>
        <w:jc w:val="both"/>
        <w:rPr>
          <w:sz w:val="24"/>
          <w:szCs w:val="24"/>
        </w:rPr>
      </w:pPr>
      <w:r>
        <w:rPr>
          <w:sz w:val="24"/>
          <w:szCs w:val="24"/>
        </w:rPr>
        <w:t>PMSM (2019) Prefeitura Municipal de Santa Maria. Investigação de Surto de Toxoplasmose em Santa Maria/RS. Segundo relatório.</w:t>
      </w:r>
    </w:p>
    <w:p w14:paraId="096A6227" w14:textId="77777777" w:rsidR="00091C11" w:rsidRDefault="00000000">
      <w:pPr>
        <w:spacing w:before="240" w:after="240" w:line="360" w:lineRule="auto"/>
        <w:jc w:val="both"/>
        <w:rPr>
          <w:sz w:val="24"/>
          <w:szCs w:val="24"/>
        </w:rPr>
      </w:pPr>
      <w:r>
        <w:rPr>
          <w:sz w:val="24"/>
          <w:szCs w:val="24"/>
        </w:rPr>
        <w:t>SHOLTEN, A. D. Particularidades comportamentais do gato doméstico. Trabalho de conclusão de curso em Medicina Veterinária- Universidade Federal do Rio Grande do Sul, Porto Alegre, 2017.</w:t>
      </w:r>
    </w:p>
    <w:p w14:paraId="514427BE" w14:textId="77777777" w:rsidR="00091C11" w:rsidRDefault="00000000">
      <w:pPr>
        <w:spacing w:before="240" w:after="240" w:line="360" w:lineRule="auto"/>
        <w:jc w:val="both"/>
        <w:rPr>
          <w:sz w:val="24"/>
          <w:szCs w:val="24"/>
          <w:highlight w:val="white"/>
        </w:rPr>
      </w:pPr>
      <w:r>
        <w:rPr>
          <w:sz w:val="24"/>
          <w:szCs w:val="24"/>
        </w:rPr>
        <w:t xml:space="preserve">SOARES, C. M. Prevalência sorológica de infecção por </w:t>
      </w:r>
      <w:r>
        <w:rPr>
          <w:i/>
          <w:sz w:val="24"/>
          <w:szCs w:val="24"/>
        </w:rPr>
        <w:t>Toxoplasma gondii</w:t>
      </w:r>
      <w:r>
        <w:rPr>
          <w:sz w:val="24"/>
          <w:szCs w:val="24"/>
        </w:rPr>
        <w:t xml:space="preserve"> em gatos domésticos. Parasite, vol. 28, n. 56, 2021. </w:t>
      </w:r>
      <w:proofErr w:type="spellStart"/>
      <w:r>
        <w:rPr>
          <w:sz w:val="24"/>
          <w:szCs w:val="24"/>
        </w:rPr>
        <w:t>doi</w:t>
      </w:r>
      <w:proofErr w:type="spellEnd"/>
      <w:r>
        <w:rPr>
          <w:sz w:val="24"/>
          <w:szCs w:val="24"/>
        </w:rPr>
        <w:t xml:space="preserve">: </w:t>
      </w:r>
      <w:r>
        <w:rPr>
          <w:sz w:val="24"/>
          <w:szCs w:val="24"/>
          <w:highlight w:val="white"/>
        </w:rPr>
        <w:t>0.1051/parasite/2021049.</w:t>
      </w:r>
    </w:p>
    <w:p w14:paraId="3EB578FE" w14:textId="77777777" w:rsidR="00091C11" w:rsidRDefault="00000000">
      <w:pPr>
        <w:spacing w:before="240" w:after="240" w:line="360" w:lineRule="auto"/>
        <w:jc w:val="both"/>
        <w:rPr>
          <w:sz w:val="24"/>
          <w:szCs w:val="24"/>
          <w:highlight w:val="white"/>
        </w:rPr>
      </w:pPr>
      <w:r>
        <w:rPr>
          <w:sz w:val="24"/>
          <w:szCs w:val="24"/>
          <w:highlight w:val="white"/>
        </w:rPr>
        <w:t xml:space="preserve">SOUZA, R. K. Prevalência sorológica de infecção por </w:t>
      </w:r>
      <w:r>
        <w:rPr>
          <w:i/>
          <w:sz w:val="24"/>
          <w:szCs w:val="24"/>
          <w:highlight w:val="white"/>
        </w:rPr>
        <w:t>Toxoplasma gondii</w:t>
      </w:r>
      <w:r>
        <w:rPr>
          <w:sz w:val="24"/>
          <w:szCs w:val="24"/>
          <w:highlight w:val="white"/>
        </w:rPr>
        <w:t xml:space="preserve"> em gatos (Belém, Pará, Brasil). Revista Brasileira de Parasitologia Veterinária, vol. 29, n. 2, 2020. </w:t>
      </w:r>
    </w:p>
    <w:p w14:paraId="52EF815D" w14:textId="77777777" w:rsidR="00091C11" w:rsidRDefault="00091C11">
      <w:pPr>
        <w:spacing w:line="360" w:lineRule="auto"/>
        <w:ind w:firstLine="720"/>
        <w:jc w:val="both"/>
        <w:rPr>
          <w:sz w:val="24"/>
          <w:szCs w:val="24"/>
        </w:rPr>
      </w:pPr>
    </w:p>
    <w:p w14:paraId="4942A580" w14:textId="77777777" w:rsidR="00091C11" w:rsidRDefault="00091C11">
      <w:pPr>
        <w:spacing w:line="360" w:lineRule="auto"/>
        <w:jc w:val="both"/>
        <w:rPr>
          <w:sz w:val="24"/>
          <w:szCs w:val="24"/>
        </w:rPr>
      </w:pPr>
    </w:p>
    <w:p w14:paraId="1CD3FBBD" w14:textId="77777777" w:rsidR="00091C11" w:rsidRDefault="00091C11">
      <w:pPr>
        <w:spacing w:line="360" w:lineRule="auto"/>
        <w:jc w:val="both"/>
        <w:rPr>
          <w:sz w:val="24"/>
          <w:szCs w:val="24"/>
        </w:rPr>
      </w:pPr>
    </w:p>
    <w:sectPr w:rsidR="00091C1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C11"/>
    <w:rsid w:val="00091C11"/>
    <w:rsid w:val="003C6F9F"/>
    <w:rsid w:val="00422AC9"/>
    <w:rsid w:val="00424E5B"/>
    <w:rsid w:val="00872695"/>
    <w:rsid w:val="00990914"/>
    <w:rsid w:val="00E941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015C18CB"/>
  <w15:docId w15:val="{31C5811D-423D-1647-A2D3-79257935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i.org/10.1590/S1413-95961998000100008" TargetMode="External"/><Relationship Id="rId3" Type="http://schemas.openxmlformats.org/officeDocument/2006/relationships/settings" Target="settings.xml"/><Relationship Id="rId7" Type="http://schemas.openxmlformats.org/officeDocument/2006/relationships/hyperlink" Target="https://doi.org/10.1201/978100319937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taylorfrancis.com/books/mono/10.1201/9781003199373/toxoplasmosis-animals-humans-dubey" TargetMode="External"/><Relationship Id="rId5" Type="http://schemas.openxmlformats.org/officeDocument/2006/relationships/hyperlink" Target="https://doi.org/10.1590/S1984-2961202003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pV8aeupRZGcpb9JDVPtDMhdJyw==">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1964</Words>
  <Characters>10611</Characters>
  <Application>Microsoft Office Word</Application>
  <DocSecurity>0</DocSecurity>
  <Lines>88</Lines>
  <Paragraphs>25</Paragraphs>
  <ScaleCrop>false</ScaleCrop>
  <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Alves</dc:creator>
  <cp:lastModifiedBy>Fagner D Ambroso Fernandes</cp:lastModifiedBy>
  <cp:revision>6</cp:revision>
  <dcterms:created xsi:type="dcterms:W3CDTF">2024-11-27T00:31:00Z</dcterms:created>
  <dcterms:modified xsi:type="dcterms:W3CDTF">2024-11-27T13:17:00Z</dcterms:modified>
</cp:coreProperties>
</file>