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F502" w14:textId="1048EFCD" w:rsidR="00FC3174" w:rsidRDefault="00D83F4C" w:rsidP="00D83F4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3F4C">
        <w:rPr>
          <w:rFonts w:ascii="Arial" w:hAnsi="Arial" w:cs="Arial"/>
          <w:b/>
          <w:bCs/>
          <w:sz w:val="24"/>
          <w:szCs w:val="24"/>
        </w:rPr>
        <w:t>PREVALÊNCIA DE TRANSTORNOS MENTAIS ENTRE ESTUDANTES DE MEDICINA NO BRASIL: UMA REVISÃO SISTEMÁTICA</w:t>
      </w:r>
    </w:p>
    <w:p w14:paraId="5A8CC9DE" w14:textId="5BFEDE28" w:rsidR="00D83F4C" w:rsidRDefault="00D83F4C" w:rsidP="00D83F4C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Vítor Moura Fé de Melo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; Rafael Balac de Andrade Nascimento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; Marinho Marques da Silva Neto (Dr.)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656E3CF7" w14:textId="77777777" w:rsidR="00E96C19" w:rsidRDefault="00E96C19" w:rsidP="00D83F4C">
      <w:pPr>
        <w:spacing w:line="360" w:lineRule="auto"/>
        <w:rPr>
          <w:rFonts w:ascii="Arial" w:hAnsi="Arial" w:cs="Arial"/>
          <w:sz w:val="24"/>
          <w:szCs w:val="24"/>
          <w:vertAlign w:val="superscript"/>
        </w:rPr>
      </w:pPr>
    </w:p>
    <w:p w14:paraId="1B46ED31" w14:textId="540F2E40" w:rsidR="00D83F4C" w:rsidRPr="00307E86" w:rsidRDefault="00307E86" w:rsidP="00D83F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>
        <w:rPr>
          <w:rFonts w:ascii="Arial" w:hAnsi="Arial" w:cs="Arial"/>
          <w:sz w:val="24"/>
          <w:szCs w:val="24"/>
        </w:rPr>
        <w:t>Universidade Salvador</w:t>
      </w:r>
    </w:p>
    <w:p w14:paraId="4AC3B07C" w14:textId="426E8A41" w:rsidR="00307E86" w:rsidRDefault="00307E86" w:rsidP="00D83F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>Universidade Estadual da Bahia</w:t>
      </w:r>
    </w:p>
    <w:p w14:paraId="70B122BA" w14:textId="0A600CDD" w:rsidR="00D12651" w:rsidRDefault="00D12651" w:rsidP="00D83F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vitormfmelo@gmail.com</w:t>
      </w:r>
    </w:p>
    <w:p w14:paraId="6E775BEC" w14:textId="77777777" w:rsidR="009F63B3" w:rsidRPr="00307E86" w:rsidRDefault="009F63B3" w:rsidP="00D83F4C">
      <w:pPr>
        <w:spacing w:line="360" w:lineRule="auto"/>
        <w:rPr>
          <w:rFonts w:ascii="Arial" w:hAnsi="Arial" w:cs="Arial"/>
          <w:sz w:val="24"/>
          <w:szCs w:val="24"/>
        </w:rPr>
      </w:pPr>
    </w:p>
    <w:p w14:paraId="4459306F" w14:textId="580A3959" w:rsidR="00D83F4C" w:rsidRDefault="00D83F4C" w:rsidP="00D83F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83F4C">
        <w:rPr>
          <w:rFonts w:ascii="Arial" w:hAnsi="Arial" w:cs="Arial"/>
          <w:b/>
          <w:bCs/>
          <w:sz w:val="24"/>
          <w:szCs w:val="24"/>
        </w:rPr>
        <w:t>RESUMO</w:t>
      </w:r>
    </w:p>
    <w:p w14:paraId="06F23ABA" w14:textId="0968F6BA" w:rsidR="00D83F4C" w:rsidRDefault="00904CF8" w:rsidP="00D83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CF8">
        <w:rPr>
          <w:rFonts w:ascii="Arial" w:hAnsi="Arial" w:cs="Arial"/>
          <w:sz w:val="24"/>
          <w:szCs w:val="24"/>
        </w:rPr>
        <w:t xml:space="preserve">Estudantes de medicina no Brasil apresentam altas taxas de </w:t>
      </w:r>
      <w:r>
        <w:rPr>
          <w:rFonts w:ascii="Arial" w:hAnsi="Arial" w:cs="Arial"/>
          <w:sz w:val="24"/>
          <w:szCs w:val="24"/>
        </w:rPr>
        <w:t>transtornos mentais (TM</w:t>
      </w:r>
      <w:r w:rsidR="001F5C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904CF8">
        <w:rPr>
          <w:rFonts w:ascii="Arial" w:hAnsi="Arial" w:cs="Arial"/>
          <w:sz w:val="24"/>
          <w:szCs w:val="24"/>
        </w:rPr>
        <w:t xml:space="preserve">, alinhando-se </w:t>
      </w:r>
      <w:r>
        <w:rPr>
          <w:rFonts w:ascii="Arial" w:hAnsi="Arial" w:cs="Arial"/>
          <w:sz w:val="24"/>
          <w:szCs w:val="24"/>
        </w:rPr>
        <w:t>a uma</w:t>
      </w:r>
      <w:r w:rsidRPr="00904CF8">
        <w:rPr>
          <w:rFonts w:ascii="Arial" w:hAnsi="Arial" w:cs="Arial"/>
          <w:sz w:val="24"/>
          <w:szCs w:val="24"/>
        </w:rPr>
        <w:t xml:space="preserve"> tendência global. Com </w:t>
      </w:r>
      <w:r>
        <w:rPr>
          <w:rFonts w:ascii="Arial" w:hAnsi="Arial" w:cs="Arial"/>
          <w:sz w:val="24"/>
          <w:szCs w:val="24"/>
        </w:rPr>
        <w:t>a</w:t>
      </w:r>
      <w:r w:rsidRPr="00904CF8">
        <w:rPr>
          <w:rFonts w:ascii="Arial" w:hAnsi="Arial" w:cs="Arial"/>
          <w:sz w:val="24"/>
          <w:szCs w:val="24"/>
        </w:rPr>
        <w:t xml:space="preserve"> pandemia de COVID-19, o cenário epidemiológico da saúde mental foi impactado, e a prevalência atual de </w:t>
      </w:r>
      <w:r>
        <w:rPr>
          <w:rFonts w:ascii="Arial" w:hAnsi="Arial" w:cs="Arial"/>
          <w:sz w:val="24"/>
          <w:szCs w:val="24"/>
        </w:rPr>
        <w:t>TM</w:t>
      </w:r>
      <w:r w:rsidR="001F5C5E">
        <w:rPr>
          <w:rFonts w:ascii="Arial" w:hAnsi="Arial" w:cs="Arial"/>
          <w:sz w:val="24"/>
          <w:szCs w:val="24"/>
        </w:rPr>
        <w:t>s</w:t>
      </w:r>
      <w:r w:rsidRPr="00904CF8">
        <w:rPr>
          <w:rFonts w:ascii="Arial" w:hAnsi="Arial" w:cs="Arial"/>
          <w:sz w:val="24"/>
          <w:szCs w:val="24"/>
        </w:rPr>
        <w:t xml:space="preserve"> nessa população é incerta. </w:t>
      </w:r>
      <w:r w:rsidR="005D2431">
        <w:rPr>
          <w:rFonts w:ascii="Arial" w:hAnsi="Arial" w:cs="Arial"/>
          <w:sz w:val="24"/>
          <w:szCs w:val="24"/>
        </w:rPr>
        <w:t>Dessa forma, e</w:t>
      </w:r>
      <w:r w:rsidRPr="00904CF8">
        <w:rPr>
          <w:rFonts w:ascii="Arial" w:hAnsi="Arial" w:cs="Arial"/>
          <w:sz w:val="24"/>
          <w:szCs w:val="24"/>
        </w:rPr>
        <w:t xml:space="preserve">ste estudo teve como objetivo estabelecer a prevalência de </w:t>
      </w:r>
      <w:r>
        <w:rPr>
          <w:rFonts w:ascii="Arial" w:hAnsi="Arial" w:cs="Arial"/>
          <w:sz w:val="24"/>
          <w:szCs w:val="24"/>
        </w:rPr>
        <w:t>TM</w:t>
      </w:r>
      <w:r w:rsidR="004033FE">
        <w:rPr>
          <w:rFonts w:ascii="Arial" w:hAnsi="Arial" w:cs="Arial"/>
          <w:sz w:val="24"/>
          <w:szCs w:val="24"/>
        </w:rPr>
        <w:t>s</w:t>
      </w:r>
      <w:r w:rsidRPr="00904CF8">
        <w:rPr>
          <w:rFonts w:ascii="Arial" w:hAnsi="Arial" w:cs="Arial"/>
          <w:sz w:val="24"/>
          <w:szCs w:val="24"/>
        </w:rPr>
        <w:t xml:space="preserve"> entre estudantes de medicina no Brasil. Realizou-se uma revisão sistemática e metanálise com busca nas bases Pubmed, Embase, Scopus, LILACS e PsycINFO por estudos transversais, publicados em </w:t>
      </w:r>
      <w:r w:rsidR="005D2431">
        <w:rPr>
          <w:rFonts w:ascii="Arial" w:hAnsi="Arial" w:cs="Arial"/>
          <w:sz w:val="24"/>
          <w:szCs w:val="24"/>
        </w:rPr>
        <w:t>periódicos</w:t>
      </w:r>
      <w:r w:rsidRPr="00904CF8">
        <w:rPr>
          <w:rFonts w:ascii="Arial" w:hAnsi="Arial" w:cs="Arial"/>
          <w:sz w:val="24"/>
          <w:szCs w:val="24"/>
        </w:rPr>
        <w:t xml:space="preserve"> revisad</w:t>
      </w:r>
      <w:r w:rsidR="006842F7">
        <w:rPr>
          <w:rFonts w:ascii="Arial" w:hAnsi="Arial" w:cs="Arial"/>
          <w:sz w:val="24"/>
          <w:szCs w:val="24"/>
        </w:rPr>
        <w:t>o</w:t>
      </w:r>
      <w:r w:rsidRPr="00904CF8">
        <w:rPr>
          <w:rFonts w:ascii="Arial" w:hAnsi="Arial" w:cs="Arial"/>
          <w:sz w:val="24"/>
          <w:szCs w:val="24"/>
        </w:rPr>
        <w:t xml:space="preserve">s por pares e que usaram instrumentos validados em português. Foram incluídos 126 estudos, com dados de 47.513 </w:t>
      </w:r>
      <w:r w:rsidR="00DD2436">
        <w:rPr>
          <w:rFonts w:ascii="Arial" w:hAnsi="Arial" w:cs="Arial"/>
          <w:sz w:val="24"/>
          <w:szCs w:val="24"/>
        </w:rPr>
        <w:t>indivíduos</w:t>
      </w:r>
      <w:r w:rsidRPr="00904CF8">
        <w:rPr>
          <w:rFonts w:ascii="Arial" w:hAnsi="Arial" w:cs="Arial"/>
          <w:sz w:val="24"/>
          <w:szCs w:val="24"/>
        </w:rPr>
        <w:t xml:space="preserve">. A prevalência </w:t>
      </w:r>
      <w:r w:rsidR="00DD2436">
        <w:rPr>
          <w:rFonts w:ascii="Arial" w:hAnsi="Arial" w:cs="Arial"/>
          <w:sz w:val="24"/>
          <w:szCs w:val="24"/>
        </w:rPr>
        <w:t xml:space="preserve">entre estudantes de medicina </w:t>
      </w:r>
      <w:r w:rsidRPr="00904CF8">
        <w:rPr>
          <w:rFonts w:ascii="Arial" w:hAnsi="Arial" w:cs="Arial"/>
          <w:sz w:val="24"/>
          <w:szCs w:val="24"/>
        </w:rPr>
        <w:t>foi de 36,3%</w:t>
      </w:r>
      <w:r>
        <w:rPr>
          <w:rFonts w:ascii="Arial" w:hAnsi="Arial" w:cs="Arial"/>
          <w:sz w:val="24"/>
          <w:szCs w:val="24"/>
        </w:rPr>
        <w:t xml:space="preserve"> </w:t>
      </w:r>
      <w:r w:rsidR="00DD2436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904CF8">
        <w:rPr>
          <w:rFonts w:ascii="Arial" w:hAnsi="Arial" w:cs="Arial"/>
          <w:sz w:val="24"/>
          <w:szCs w:val="24"/>
        </w:rPr>
        <w:t>sintomas depressivos,</w:t>
      </w:r>
      <w:r>
        <w:rPr>
          <w:rFonts w:ascii="Arial" w:hAnsi="Arial" w:cs="Arial"/>
          <w:sz w:val="24"/>
          <w:szCs w:val="24"/>
        </w:rPr>
        <w:t xml:space="preserve"> </w:t>
      </w:r>
      <w:r w:rsidRPr="00904CF8">
        <w:rPr>
          <w:rFonts w:ascii="Arial" w:hAnsi="Arial" w:cs="Arial"/>
          <w:sz w:val="24"/>
          <w:szCs w:val="24"/>
        </w:rPr>
        <w:t xml:space="preserve">41,2% para ansiedade e 65,6% para má qualidade do sono, entre outros </w:t>
      </w:r>
      <w:r>
        <w:rPr>
          <w:rFonts w:ascii="Arial" w:hAnsi="Arial" w:cs="Arial"/>
          <w:sz w:val="24"/>
          <w:szCs w:val="24"/>
        </w:rPr>
        <w:t>TM</w:t>
      </w:r>
      <w:r w:rsidR="001F5C5E">
        <w:rPr>
          <w:rFonts w:ascii="Arial" w:hAnsi="Arial" w:cs="Arial"/>
          <w:sz w:val="24"/>
          <w:szCs w:val="24"/>
        </w:rPr>
        <w:t>s</w:t>
      </w:r>
      <w:r w:rsidRPr="00904CF8">
        <w:rPr>
          <w:rFonts w:ascii="Arial" w:hAnsi="Arial" w:cs="Arial"/>
          <w:sz w:val="24"/>
          <w:szCs w:val="24"/>
        </w:rPr>
        <w:t>. As taxas foram maiores entre mulheres, exceto para abuso de álcool. Esses achados destacam a necessidade de maior suporte à saúde mental durante a formação médica.</w:t>
      </w:r>
    </w:p>
    <w:p w14:paraId="2A9659A5" w14:textId="77777777" w:rsidR="00DD2436" w:rsidRDefault="00DD2436" w:rsidP="00D83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BD59D4" w14:textId="4F577914" w:rsidR="00DD2436" w:rsidRDefault="00DD2436" w:rsidP="00D83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436">
        <w:rPr>
          <w:rFonts w:ascii="Arial" w:hAnsi="Arial" w:cs="Arial"/>
          <w:b/>
          <w:bCs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 Epidemiologia, estudantes, medicina</w:t>
      </w:r>
    </w:p>
    <w:p w14:paraId="74786C08" w14:textId="77777777" w:rsidR="00DD2436" w:rsidRDefault="00DD2436" w:rsidP="00D83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5EE81E" w14:textId="70C1FB7D" w:rsidR="00DD2436" w:rsidRPr="00DD2436" w:rsidRDefault="00DD2436" w:rsidP="00D83F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2436">
        <w:rPr>
          <w:rFonts w:ascii="Arial" w:hAnsi="Arial" w:cs="Arial"/>
          <w:b/>
          <w:bCs/>
          <w:sz w:val="24"/>
          <w:szCs w:val="24"/>
        </w:rPr>
        <w:t>INTRODUÇÃO</w:t>
      </w:r>
    </w:p>
    <w:p w14:paraId="02720E19" w14:textId="449F77D7" w:rsidR="00DD2436" w:rsidRPr="00DD2436" w:rsidRDefault="00F82055" w:rsidP="00DD24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Pr="00F82055">
        <w:rPr>
          <w:rFonts w:ascii="Arial" w:hAnsi="Arial" w:cs="Arial"/>
          <w:sz w:val="24"/>
          <w:szCs w:val="24"/>
        </w:rPr>
        <w:t>ranstornos mentais (TMs) são condições altamente prevalentes</w:t>
      </w:r>
      <w:r w:rsidR="00C430E8">
        <w:rPr>
          <w:rFonts w:ascii="Arial" w:hAnsi="Arial" w:cs="Arial"/>
          <w:sz w:val="24"/>
          <w:szCs w:val="24"/>
        </w:rPr>
        <w:t xml:space="preserve"> no Brasil e no mundo,</w:t>
      </w:r>
      <w:r w:rsidRPr="00F82055">
        <w:rPr>
          <w:rFonts w:ascii="Arial" w:hAnsi="Arial" w:cs="Arial"/>
          <w:sz w:val="24"/>
          <w:szCs w:val="24"/>
        </w:rPr>
        <w:t xml:space="preserve"> capazes de impactar de forma significativa a qualidade de vida dos indivíduos </w:t>
      </w:r>
      <w:r w:rsidR="00C430E8">
        <w:rPr>
          <w:rFonts w:ascii="Arial" w:hAnsi="Arial" w:cs="Arial"/>
          <w:sz w:val="24"/>
          <w:szCs w:val="24"/>
        </w:rPr>
        <w:t>os sofrem</w:t>
      </w:r>
      <w:r w:rsidR="00BC2F7A">
        <w:rPr>
          <w:rFonts w:ascii="Arial" w:hAnsi="Arial" w:cs="Arial"/>
          <w:sz w:val="24"/>
          <w:szCs w:val="24"/>
        </w:rPr>
        <w:t xml:space="preserve">. </w:t>
      </w:r>
      <w:r w:rsidR="00DD2436" w:rsidRPr="00DD2436">
        <w:rPr>
          <w:rFonts w:ascii="Arial" w:hAnsi="Arial" w:cs="Arial"/>
          <w:sz w:val="24"/>
          <w:szCs w:val="24"/>
        </w:rPr>
        <w:t xml:space="preserve">Dentre as pessoas que estão mais sujeitas a variados problemas mentais é a população de estudantes universitários. Dentre </w:t>
      </w:r>
      <w:r w:rsidR="00092702">
        <w:rPr>
          <w:rFonts w:ascii="Arial" w:hAnsi="Arial" w:cs="Arial"/>
          <w:sz w:val="24"/>
          <w:szCs w:val="24"/>
        </w:rPr>
        <w:t>eles</w:t>
      </w:r>
      <w:r w:rsidR="00DD2436" w:rsidRPr="00DD2436">
        <w:rPr>
          <w:rFonts w:ascii="Arial" w:hAnsi="Arial" w:cs="Arial"/>
          <w:sz w:val="24"/>
          <w:szCs w:val="24"/>
        </w:rPr>
        <w:t xml:space="preserve">, a literatura </w:t>
      </w:r>
      <w:r w:rsidR="004A0050">
        <w:rPr>
          <w:rFonts w:ascii="Arial" w:hAnsi="Arial" w:cs="Arial"/>
          <w:sz w:val="24"/>
          <w:szCs w:val="24"/>
        </w:rPr>
        <w:t>bio</w:t>
      </w:r>
      <w:r w:rsidR="00DD2436" w:rsidRPr="00DD2436">
        <w:rPr>
          <w:rFonts w:ascii="Arial" w:hAnsi="Arial" w:cs="Arial"/>
          <w:sz w:val="24"/>
          <w:szCs w:val="24"/>
        </w:rPr>
        <w:t>médica aponta que os estudantes de medicina, em especial, apresentam pior bem-estar psicossocial em relação a pessoas da mesma idade, exibindo também maiores taxas de depressão e burnout do que a população em geral</w:t>
      </w:r>
      <w:r w:rsidR="0009270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2702">
        <w:rPr>
          <w:rFonts w:ascii="Arial" w:hAnsi="Arial" w:cs="Arial"/>
          <w:sz w:val="24"/>
          <w:szCs w:val="24"/>
        </w:rPr>
        <w:t>Dyrbye</w:t>
      </w:r>
      <w:proofErr w:type="spellEnd"/>
      <w:r w:rsidR="00092702">
        <w:rPr>
          <w:rFonts w:ascii="Arial" w:hAnsi="Arial" w:cs="Arial"/>
          <w:sz w:val="24"/>
          <w:szCs w:val="24"/>
        </w:rPr>
        <w:t>, 2014)</w:t>
      </w:r>
      <w:r w:rsidR="00DD2436" w:rsidRPr="00DD2436">
        <w:rPr>
          <w:rFonts w:ascii="Arial" w:hAnsi="Arial" w:cs="Arial"/>
          <w:sz w:val="24"/>
          <w:szCs w:val="24"/>
        </w:rPr>
        <w:t xml:space="preserve">. Fatores como um ambiente altamente competitivo, alta carga de conteúdos, privação de sono e outros aspectos comumente presentes na vida de estudantes de medicina podem estar atrelados a essa situação, contribuindo </w:t>
      </w:r>
      <w:r w:rsidR="00015BC6">
        <w:rPr>
          <w:rFonts w:ascii="Arial" w:hAnsi="Arial" w:cs="Arial"/>
          <w:sz w:val="24"/>
          <w:szCs w:val="24"/>
        </w:rPr>
        <w:t>com</w:t>
      </w:r>
      <w:r w:rsidR="00DD2436" w:rsidRPr="00DD2436">
        <w:rPr>
          <w:rFonts w:ascii="Arial" w:hAnsi="Arial" w:cs="Arial"/>
          <w:sz w:val="24"/>
          <w:szCs w:val="24"/>
        </w:rPr>
        <w:t xml:space="preserve"> a piora da saúde mental desse </w:t>
      </w:r>
      <w:r w:rsidR="00015BC6">
        <w:rPr>
          <w:rFonts w:ascii="Arial" w:hAnsi="Arial" w:cs="Arial"/>
          <w:sz w:val="24"/>
          <w:szCs w:val="24"/>
        </w:rPr>
        <w:t>grupo</w:t>
      </w:r>
      <w:r w:rsidR="00DD2436" w:rsidRPr="00DD2436">
        <w:rPr>
          <w:rFonts w:ascii="Arial" w:hAnsi="Arial" w:cs="Arial"/>
          <w:sz w:val="24"/>
          <w:szCs w:val="24"/>
        </w:rPr>
        <w:t xml:space="preserve"> populacional. </w:t>
      </w:r>
    </w:p>
    <w:p w14:paraId="6C9381F6" w14:textId="1E037750" w:rsidR="00DD2436" w:rsidRDefault="00DD2436" w:rsidP="00DD24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436">
        <w:rPr>
          <w:rFonts w:ascii="Arial" w:hAnsi="Arial" w:cs="Arial"/>
          <w:sz w:val="24"/>
          <w:szCs w:val="24"/>
        </w:rPr>
        <w:t>No entanto, a pandemia da C</w:t>
      </w:r>
      <w:r w:rsidR="00015BC6">
        <w:rPr>
          <w:rFonts w:ascii="Arial" w:hAnsi="Arial" w:cs="Arial"/>
          <w:sz w:val="24"/>
          <w:szCs w:val="24"/>
        </w:rPr>
        <w:t>OVID</w:t>
      </w:r>
      <w:r w:rsidRPr="00DD2436">
        <w:rPr>
          <w:rFonts w:ascii="Arial" w:hAnsi="Arial" w:cs="Arial"/>
          <w:sz w:val="24"/>
          <w:szCs w:val="24"/>
        </w:rPr>
        <w:t>-19 provocou mudanças no paradigma da saúde pública mundial que até hoje não foram completamente elucidadas. Apesar de existirem inúmeros estudos na literatura</w:t>
      </w:r>
      <w:r w:rsidR="006A7570">
        <w:rPr>
          <w:rFonts w:ascii="Arial" w:hAnsi="Arial" w:cs="Arial"/>
          <w:sz w:val="24"/>
          <w:szCs w:val="24"/>
        </w:rPr>
        <w:t xml:space="preserve"> </w:t>
      </w:r>
      <w:r w:rsidRPr="00DD2436">
        <w:rPr>
          <w:rFonts w:ascii="Arial" w:hAnsi="Arial" w:cs="Arial"/>
          <w:sz w:val="24"/>
          <w:szCs w:val="24"/>
        </w:rPr>
        <w:t>que confirmem altas taxas de TM</w:t>
      </w:r>
      <w:r w:rsidR="001F5C5E">
        <w:rPr>
          <w:rFonts w:ascii="Arial" w:hAnsi="Arial" w:cs="Arial"/>
          <w:sz w:val="24"/>
          <w:szCs w:val="24"/>
        </w:rPr>
        <w:t>s</w:t>
      </w:r>
      <w:r w:rsidRPr="00DD2436">
        <w:rPr>
          <w:rFonts w:ascii="Arial" w:hAnsi="Arial" w:cs="Arial"/>
          <w:sz w:val="24"/>
          <w:szCs w:val="24"/>
        </w:rPr>
        <w:t xml:space="preserve"> dentre estudantes de medicina, o impacto que a emergência sanitária provocou na incidência desses agravos neste grupo da população é incerto</w:t>
      </w:r>
      <w:r>
        <w:rPr>
          <w:rFonts w:ascii="Arial" w:hAnsi="Arial" w:cs="Arial"/>
          <w:sz w:val="24"/>
          <w:szCs w:val="24"/>
        </w:rPr>
        <w:t>. Portanto, o objetivo deste trabalho foi determinar a prevalência de TM</w:t>
      </w:r>
      <w:r w:rsidR="001F5C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entre estudantes de medicina no Brasil. </w:t>
      </w:r>
    </w:p>
    <w:p w14:paraId="7E9CBB41" w14:textId="77777777" w:rsidR="00455AD3" w:rsidRDefault="00455AD3" w:rsidP="00DD24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CBA8FB" w14:textId="20745D29" w:rsidR="00455AD3" w:rsidRPr="008F4C30" w:rsidRDefault="00455AD3" w:rsidP="00DD243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F4C30">
        <w:rPr>
          <w:rFonts w:ascii="Arial" w:hAnsi="Arial" w:cs="Arial"/>
          <w:b/>
          <w:bCs/>
          <w:sz w:val="24"/>
          <w:szCs w:val="24"/>
        </w:rPr>
        <w:t>MÉTODOS</w:t>
      </w:r>
    </w:p>
    <w:p w14:paraId="1BAF008D" w14:textId="4AC95A26" w:rsidR="00455AD3" w:rsidRDefault="008F4C30" w:rsidP="008F4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f</w:t>
      </w:r>
      <w:r w:rsidR="00121ADB">
        <w:rPr>
          <w:rFonts w:ascii="Arial" w:hAnsi="Arial" w:cs="Arial"/>
          <w:sz w:val="24"/>
          <w:szCs w:val="24"/>
        </w:rPr>
        <w:t xml:space="preserve">oi uma </w:t>
      </w:r>
      <w:r w:rsidR="00121ADB" w:rsidRPr="00121ADB">
        <w:rPr>
          <w:rFonts w:ascii="Arial" w:hAnsi="Arial" w:cs="Arial"/>
          <w:sz w:val="24"/>
          <w:szCs w:val="24"/>
        </w:rPr>
        <w:t>revisão sistemática com metanálise, construída seguindo os critérios do checklist PRISMA</w:t>
      </w:r>
      <w:r w:rsidR="008F526B">
        <w:rPr>
          <w:rFonts w:ascii="Arial" w:hAnsi="Arial" w:cs="Arial"/>
          <w:sz w:val="24"/>
          <w:szCs w:val="24"/>
        </w:rPr>
        <w:t xml:space="preserve">. </w:t>
      </w:r>
    </w:p>
    <w:p w14:paraId="5F85DE1E" w14:textId="3B38ECEC" w:rsidR="00121ADB" w:rsidRPr="00121ADB" w:rsidRDefault="00241BD5" w:rsidP="008F4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buscados nas bases de dados Pubmed, Embase, Scopus, LILACS e PsycINFO, estudos</w:t>
      </w:r>
      <w:r w:rsidR="00124D32">
        <w:rPr>
          <w:rFonts w:ascii="Arial" w:hAnsi="Arial" w:cs="Arial"/>
          <w:sz w:val="24"/>
          <w:szCs w:val="24"/>
        </w:rPr>
        <w:t xml:space="preserve">: </w:t>
      </w:r>
      <w:r w:rsidR="00121ADB" w:rsidRPr="00121ADB">
        <w:rPr>
          <w:rFonts w:ascii="Arial" w:hAnsi="Arial" w:cs="Arial"/>
          <w:sz w:val="24"/>
          <w:szCs w:val="24"/>
        </w:rPr>
        <w:t>(1) transversais; (2) que avali</w:t>
      </w:r>
      <w:r w:rsidR="003504C6">
        <w:rPr>
          <w:rFonts w:ascii="Arial" w:hAnsi="Arial" w:cs="Arial"/>
          <w:sz w:val="24"/>
          <w:szCs w:val="24"/>
        </w:rPr>
        <w:t>assem</w:t>
      </w:r>
      <w:r w:rsidR="00121ADB" w:rsidRPr="00121ADB">
        <w:rPr>
          <w:rFonts w:ascii="Arial" w:hAnsi="Arial" w:cs="Arial"/>
          <w:sz w:val="24"/>
          <w:szCs w:val="24"/>
        </w:rPr>
        <w:t xml:space="preserve"> estudantes de medicina </w:t>
      </w:r>
      <w:r w:rsidR="00124D32">
        <w:rPr>
          <w:rFonts w:ascii="Arial" w:hAnsi="Arial" w:cs="Arial"/>
          <w:sz w:val="24"/>
          <w:szCs w:val="24"/>
        </w:rPr>
        <w:t>em</w:t>
      </w:r>
      <w:r w:rsidR="00121ADB" w:rsidRPr="00121ADB">
        <w:rPr>
          <w:rFonts w:ascii="Arial" w:hAnsi="Arial" w:cs="Arial"/>
          <w:sz w:val="24"/>
          <w:szCs w:val="24"/>
        </w:rPr>
        <w:t xml:space="preserve"> faculdades localizadas no Brasil; (3) que rela</w:t>
      </w:r>
      <w:r w:rsidR="00000E45">
        <w:rPr>
          <w:rFonts w:ascii="Arial" w:hAnsi="Arial" w:cs="Arial"/>
          <w:sz w:val="24"/>
          <w:szCs w:val="24"/>
        </w:rPr>
        <w:t>sse</w:t>
      </w:r>
      <w:r w:rsidR="00121ADB" w:rsidRPr="00121ADB">
        <w:rPr>
          <w:rFonts w:ascii="Arial" w:hAnsi="Arial" w:cs="Arial"/>
          <w:sz w:val="24"/>
          <w:szCs w:val="24"/>
        </w:rPr>
        <w:t xml:space="preserve">m a prevalência de </w:t>
      </w:r>
      <w:r w:rsidR="00121ADB">
        <w:rPr>
          <w:rFonts w:ascii="Arial" w:hAnsi="Arial" w:cs="Arial"/>
          <w:sz w:val="24"/>
          <w:szCs w:val="24"/>
        </w:rPr>
        <w:t>TM</w:t>
      </w:r>
      <w:r w:rsidR="001F5C5E">
        <w:rPr>
          <w:rFonts w:ascii="Arial" w:hAnsi="Arial" w:cs="Arial"/>
          <w:sz w:val="24"/>
          <w:szCs w:val="24"/>
        </w:rPr>
        <w:t>s</w:t>
      </w:r>
      <w:r w:rsidR="00121ADB" w:rsidRPr="00121ADB">
        <w:rPr>
          <w:rFonts w:ascii="Arial" w:hAnsi="Arial" w:cs="Arial"/>
          <w:sz w:val="24"/>
          <w:szCs w:val="24"/>
        </w:rPr>
        <w:t xml:space="preserve"> em sua amostra; (4) </w:t>
      </w:r>
      <w:r w:rsidR="00124D32">
        <w:rPr>
          <w:rFonts w:ascii="Arial" w:hAnsi="Arial" w:cs="Arial"/>
          <w:sz w:val="24"/>
          <w:szCs w:val="24"/>
        </w:rPr>
        <w:t>e</w:t>
      </w:r>
      <w:r w:rsidR="00121ADB" w:rsidRPr="00121ADB">
        <w:rPr>
          <w:rFonts w:ascii="Arial" w:hAnsi="Arial" w:cs="Arial"/>
          <w:sz w:val="24"/>
          <w:szCs w:val="24"/>
        </w:rPr>
        <w:t xml:space="preserve"> que utiliz</w:t>
      </w:r>
      <w:r w:rsidR="00000E45">
        <w:rPr>
          <w:rFonts w:ascii="Arial" w:hAnsi="Arial" w:cs="Arial"/>
          <w:sz w:val="24"/>
          <w:szCs w:val="24"/>
        </w:rPr>
        <w:t>assem</w:t>
      </w:r>
      <w:r w:rsidR="00121ADB" w:rsidRPr="00121ADB">
        <w:rPr>
          <w:rFonts w:ascii="Arial" w:hAnsi="Arial" w:cs="Arial"/>
          <w:sz w:val="24"/>
          <w:szCs w:val="24"/>
        </w:rPr>
        <w:t xml:space="preserve"> escalas ou questionários traduzidos e validados para o português. Em caso de estudos multicêntricos internacionais, dados separados em relação à amostra do Brasil</w:t>
      </w:r>
      <w:r>
        <w:rPr>
          <w:rFonts w:ascii="Arial" w:hAnsi="Arial" w:cs="Arial"/>
          <w:sz w:val="24"/>
          <w:szCs w:val="24"/>
        </w:rPr>
        <w:t xml:space="preserve"> eram necessários</w:t>
      </w:r>
      <w:r w:rsidR="00121ADB" w:rsidRPr="00121ADB">
        <w:rPr>
          <w:rFonts w:ascii="Arial" w:hAnsi="Arial" w:cs="Arial"/>
          <w:sz w:val="24"/>
          <w:szCs w:val="24"/>
        </w:rPr>
        <w:t xml:space="preserve">. </w:t>
      </w:r>
    </w:p>
    <w:p w14:paraId="2DA70BB4" w14:textId="49F5830B" w:rsidR="00121ADB" w:rsidRDefault="00121ADB" w:rsidP="008F4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1ADB">
        <w:rPr>
          <w:rFonts w:ascii="Arial" w:hAnsi="Arial" w:cs="Arial"/>
          <w:sz w:val="24"/>
          <w:szCs w:val="24"/>
        </w:rPr>
        <w:t xml:space="preserve">Os critérios de exclusão </w:t>
      </w:r>
      <w:r>
        <w:rPr>
          <w:rFonts w:ascii="Arial" w:hAnsi="Arial" w:cs="Arial"/>
          <w:sz w:val="24"/>
          <w:szCs w:val="24"/>
        </w:rPr>
        <w:t>foram</w:t>
      </w:r>
      <w:r w:rsidRPr="00121ADB">
        <w:rPr>
          <w:rFonts w:ascii="Arial" w:hAnsi="Arial" w:cs="Arial"/>
          <w:sz w:val="24"/>
          <w:szCs w:val="24"/>
        </w:rPr>
        <w:t>: (1) estudos focados em estudantes universitários sem análise de subgrupo acerca de estudantes de medicina; (2) uso de questionários em que o foco principal não era o diagnóstico de TM</w:t>
      </w:r>
      <w:r w:rsidR="001F5C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</w:t>
      </w:r>
      <w:r w:rsidRPr="00121ADB">
        <w:rPr>
          <w:rFonts w:ascii="Arial" w:hAnsi="Arial" w:cs="Arial"/>
          <w:sz w:val="24"/>
          <w:szCs w:val="24"/>
        </w:rPr>
        <w:t xml:space="preserve"> (3) estudos </w:t>
      </w:r>
      <w:r w:rsidRPr="00121ADB">
        <w:rPr>
          <w:rFonts w:ascii="Arial" w:hAnsi="Arial" w:cs="Arial"/>
          <w:sz w:val="24"/>
          <w:szCs w:val="24"/>
        </w:rPr>
        <w:lastRenderedPageBreak/>
        <w:t>com dados sobrepostos de estudos</w:t>
      </w:r>
      <w:r w:rsidR="008F4C30">
        <w:rPr>
          <w:rFonts w:ascii="Arial" w:hAnsi="Arial" w:cs="Arial"/>
          <w:sz w:val="24"/>
          <w:szCs w:val="24"/>
        </w:rPr>
        <w:t xml:space="preserve"> incluídos</w:t>
      </w:r>
      <w:r w:rsidRPr="00121ADB">
        <w:rPr>
          <w:rFonts w:ascii="Arial" w:hAnsi="Arial" w:cs="Arial"/>
          <w:sz w:val="24"/>
          <w:szCs w:val="24"/>
        </w:rPr>
        <w:t xml:space="preserve">; (4) </w:t>
      </w:r>
      <w:r w:rsidR="008F4C30">
        <w:rPr>
          <w:rFonts w:ascii="Arial" w:hAnsi="Arial" w:cs="Arial"/>
          <w:sz w:val="24"/>
          <w:szCs w:val="24"/>
        </w:rPr>
        <w:t>amostra</w:t>
      </w:r>
      <w:r w:rsidR="00BF5B49">
        <w:rPr>
          <w:rFonts w:ascii="Arial" w:hAnsi="Arial" w:cs="Arial"/>
          <w:sz w:val="24"/>
          <w:szCs w:val="24"/>
        </w:rPr>
        <w:t>s</w:t>
      </w:r>
      <w:r w:rsidR="008F4C30">
        <w:rPr>
          <w:rFonts w:ascii="Arial" w:hAnsi="Arial" w:cs="Arial"/>
          <w:sz w:val="24"/>
          <w:szCs w:val="24"/>
        </w:rPr>
        <w:t xml:space="preserve"> de</w:t>
      </w:r>
      <w:r w:rsidRPr="00121ADB">
        <w:rPr>
          <w:rFonts w:ascii="Arial" w:hAnsi="Arial" w:cs="Arial"/>
          <w:sz w:val="24"/>
          <w:szCs w:val="24"/>
        </w:rPr>
        <w:t xml:space="preserve"> apenas um sexo; (5) estudos não publicados em revistas com revisão por pares; (6) artigo completo </w:t>
      </w:r>
      <w:r w:rsidR="006A2756">
        <w:rPr>
          <w:rFonts w:ascii="Arial" w:hAnsi="Arial" w:cs="Arial"/>
          <w:sz w:val="24"/>
          <w:szCs w:val="24"/>
        </w:rPr>
        <w:t>in</w:t>
      </w:r>
      <w:r w:rsidRPr="00121ADB">
        <w:rPr>
          <w:rFonts w:ascii="Arial" w:hAnsi="Arial" w:cs="Arial"/>
          <w:sz w:val="24"/>
          <w:szCs w:val="24"/>
        </w:rPr>
        <w:t xml:space="preserve">disponível. </w:t>
      </w:r>
    </w:p>
    <w:p w14:paraId="55FC71A7" w14:textId="7E9B72D1" w:rsidR="00241BD5" w:rsidRPr="00121ADB" w:rsidRDefault="00241BD5" w:rsidP="008F4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1BD5">
        <w:rPr>
          <w:rFonts w:ascii="Arial" w:hAnsi="Arial" w:cs="Arial"/>
          <w:sz w:val="24"/>
          <w:szCs w:val="24"/>
        </w:rPr>
        <w:t xml:space="preserve">Dois </w:t>
      </w:r>
      <w:r>
        <w:rPr>
          <w:rFonts w:ascii="Arial" w:hAnsi="Arial" w:cs="Arial"/>
          <w:sz w:val="24"/>
          <w:szCs w:val="24"/>
        </w:rPr>
        <w:t>autores</w:t>
      </w:r>
      <w:r w:rsidRPr="00241BD5">
        <w:rPr>
          <w:rFonts w:ascii="Arial" w:hAnsi="Arial" w:cs="Arial"/>
          <w:sz w:val="24"/>
          <w:szCs w:val="24"/>
        </w:rPr>
        <w:t xml:space="preserve"> (VM e R</w:t>
      </w:r>
      <w:r>
        <w:rPr>
          <w:rFonts w:ascii="Arial" w:hAnsi="Arial" w:cs="Arial"/>
          <w:sz w:val="24"/>
          <w:szCs w:val="24"/>
        </w:rPr>
        <w:t>N</w:t>
      </w:r>
      <w:r w:rsidRPr="00241BD5">
        <w:rPr>
          <w:rFonts w:ascii="Arial" w:hAnsi="Arial" w:cs="Arial"/>
          <w:sz w:val="24"/>
          <w:szCs w:val="24"/>
        </w:rPr>
        <w:t>) realizaram de forma independente a triagem dos títulos e resumos identificados pela busca</w:t>
      </w:r>
      <w:r w:rsidR="00FE48A1">
        <w:rPr>
          <w:rFonts w:ascii="Arial" w:hAnsi="Arial" w:cs="Arial"/>
          <w:sz w:val="24"/>
          <w:szCs w:val="24"/>
        </w:rPr>
        <w:t xml:space="preserve"> na literatura</w:t>
      </w:r>
      <w:r w:rsidRPr="00241BD5">
        <w:rPr>
          <w:rFonts w:ascii="Arial" w:hAnsi="Arial" w:cs="Arial"/>
          <w:sz w:val="24"/>
          <w:szCs w:val="24"/>
        </w:rPr>
        <w:t xml:space="preserve">. O texto completo dos artigos potencialmente elegíveis foi obtido para determinar se </w:t>
      </w:r>
      <w:r w:rsidR="00FE24DC">
        <w:rPr>
          <w:rFonts w:ascii="Arial" w:hAnsi="Arial" w:cs="Arial"/>
          <w:sz w:val="24"/>
          <w:szCs w:val="24"/>
        </w:rPr>
        <w:t xml:space="preserve">eles </w:t>
      </w:r>
      <w:r w:rsidRPr="00241BD5">
        <w:rPr>
          <w:rFonts w:ascii="Arial" w:hAnsi="Arial" w:cs="Arial"/>
          <w:sz w:val="24"/>
          <w:szCs w:val="24"/>
        </w:rPr>
        <w:t>atendiam aos critérios de elegibilidade. Divergências foram resolvidas por meio de discussões entre os</w:t>
      </w:r>
      <w:r w:rsidR="00654B22">
        <w:rPr>
          <w:rFonts w:ascii="Arial" w:hAnsi="Arial" w:cs="Arial"/>
          <w:sz w:val="24"/>
          <w:szCs w:val="24"/>
        </w:rPr>
        <w:t xml:space="preserve"> dois</w:t>
      </w:r>
      <w:r w:rsidR="004F073F">
        <w:rPr>
          <w:rFonts w:ascii="Arial" w:hAnsi="Arial" w:cs="Arial"/>
          <w:sz w:val="24"/>
          <w:szCs w:val="24"/>
        </w:rPr>
        <w:t xml:space="preserve"> </w:t>
      </w:r>
      <w:r w:rsidRPr="00241BD5">
        <w:rPr>
          <w:rFonts w:ascii="Arial" w:hAnsi="Arial" w:cs="Arial"/>
          <w:sz w:val="24"/>
          <w:szCs w:val="24"/>
        </w:rPr>
        <w:t xml:space="preserve">autores. Um terceiro </w:t>
      </w:r>
      <w:r>
        <w:rPr>
          <w:rFonts w:ascii="Arial" w:hAnsi="Arial" w:cs="Arial"/>
          <w:sz w:val="24"/>
          <w:szCs w:val="24"/>
        </w:rPr>
        <w:t>autor</w:t>
      </w:r>
      <w:r w:rsidRPr="00241BD5">
        <w:rPr>
          <w:rFonts w:ascii="Arial" w:hAnsi="Arial" w:cs="Arial"/>
          <w:sz w:val="24"/>
          <w:szCs w:val="24"/>
        </w:rPr>
        <w:t xml:space="preserve"> (M</w:t>
      </w:r>
      <w:r>
        <w:rPr>
          <w:rFonts w:ascii="Arial" w:hAnsi="Arial" w:cs="Arial"/>
          <w:sz w:val="24"/>
          <w:szCs w:val="24"/>
        </w:rPr>
        <w:t>N</w:t>
      </w:r>
      <w:r w:rsidRPr="00241BD5">
        <w:rPr>
          <w:rFonts w:ascii="Arial" w:hAnsi="Arial" w:cs="Arial"/>
          <w:sz w:val="24"/>
          <w:szCs w:val="24"/>
        </w:rPr>
        <w:t xml:space="preserve">) estava disponível para arbitragem, </w:t>
      </w:r>
      <w:r w:rsidR="00824650">
        <w:rPr>
          <w:rFonts w:ascii="Arial" w:hAnsi="Arial" w:cs="Arial"/>
          <w:sz w:val="24"/>
          <w:szCs w:val="24"/>
        </w:rPr>
        <w:t>caso</w:t>
      </w:r>
      <w:r w:rsidRPr="00241BD5">
        <w:rPr>
          <w:rFonts w:ascii="Arial" w:hAnsi="Arial" w:cs="Arial"/>
          <w:sz w:val="24"/>
          <w:szCs w:val="24"/>
        </w:rPr>
        <w:t xml:space="preserve"> necessário.</w:t>
      </w:r>
    </w:p>
    <w:p w14:paraId="67856AA9" w14:textId="669FC457" w:rsidR="00121ADB" w:rsidRPr="00121ADB" w:rsidRDefault="00121ADB" w:rsidP="008F4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Pr="00121ADB">
        <w:rPr>
          <w:rFonts w:ascii="Arial" w:hAnsi="Arial" w:cs="Arial"/>
          <w:sz w:val="24"/>
          <w:szCs w:val="24"/>
        </w:rPr>
        <w:t xml:space="preserve"> seguintes informações </w:t>
      </w:r>
      <w:r>
        <w:rPr>
          <w:rFonts w:ascii="Arial" w:hAnsi="Arial" w:cs="Arial"/>
          <w:sz w:val="24"/>
          <w:szCs w:val="24"/>
        </w:rPr>
        <w:t xml:space="preserve">foram </w:t>
      </w:r>
      <w:r w:rsidRPr="00121ADB">
        <w:rPr>
          <w:rFonts w:ascii="Arial" w:hAnsi="Arial" w:cs="Arial"/>
          <w:sz w:val="24"/>
          <w:szCs w:val="24"/>
        </w:rPr>
        <w:t>extraídas</w:t>
      </w:r>
      <w:r w:rsidR="00241BD5">
        <w:rPr>
          <w:rFonts w:ascii="Arial" w:hAnsi="Arial" w:cs="Arial"/>
          <w:sz w:val="24"/>
          <w:szCs w:val="24"/>
        </w:rPr>
        <w:t xml:space="preserve"> dos estudos</w:t>
      </w:r>
      <w:r w:rsidRPr="00121ADB">
        <w:rPr>
          <w:rFonts w:ascii="Arial" w:hAnsi="Arial" w:cs="Arial"/>
          <w:sz w:val="24"/>
          <w:szCs w:val="24"/>
        </w:rPr>
        <w:t xml:space="preserve">: autor principal, ano, </w:t>
      </w:r>
      <w:r w:rsidR="00241BD5">
        <w:rPr>
          <w:rFonts w:ascii="Arial" w:hAnsi="Arial" w:cs="Arial"/>
          <w:sz w:val="24"/>
          <w:szCs w:val="24"/>
        </w:rPr>
        <w:t>região</w:t>
      </w:r>
      <w:r w:rsidR="008F4C30">
        <w:rPr>
          <w:rFonts w:ascii="Arial" w:hAnsi="Arial" w:cs="Arial"/>
          <w:sz w:val="24"/>
          <w:szCs w:val="24"/>
        </w:rPr>
        <w:t>,</w:t>
      </w:r>
      <w:r w:rsidRPr="00121ADB">
        <w:rPr>
          <w:rFonts w:ascii="Arial" w:hAnsi="Arial" w:cs="Arial"/>
          <w:sz w:val="24"/>
          <w:szCs w:val="24"/>
        </w:rPr>
        <w:t xml:space="preserve"> tamanho da amostra, idade média, </w:t>
      </w:r>
      <w:r>
        <w:rPr>
          <w:rFonts w:ascii="Arial" w:hAnsi="Arial" w:cs="Arial"/>
          <w:sz w:val="24"/>
          <w:szCs w:val="24"/>
        </w:rPr>
        <w:t>proporção de mulheres</w:t>
      </w:r>
      <w:r w:rsidR="008F4C30">
        <w:rPr>
          <w:rFonts w:ascii="Arial" w:hAnsi="Arial" w:cs="Arial"/>
          <w:sz w:val="24"/>
          <w:szCs w:val="24"/>
        </w:rPr>
        <w:t>,</w:t>
      </w:r>
      <w:r w:rsidRPr="00121A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TM</w:t>
      </w:r>
      <w:r w:rsidR="001F5C5E">
        <w:rPr>
          <w:rFonts w:ascii="Arial" w:hAnsi="Arial" w:cs="Arial"/>
          <w:sz w:val="24"/>
          <w:szCs w:val="24"/>
        </w:rPr>
        <w:t>s</w:t>
      </w:r>
      <w:r w:rsidRPr="00121ADB">
        <w:rPr>
          <w:rFonts w:ascii="Arial" w:hAnsi="Arial" w:cs="Arial"/>
          <w:sz w:val="24"/>
          <w:szCs w:val="24"/>
        </w:rPr>
        <w:t xml:space="preserve"> avaliados</w:t>
      </w:r>
      <w:r w:rsidR="008F4C30">
        <w:rPr>
          <w:rFonts w:ascii="Arial" w:hAnsi="Arial" w:cs="Arial"/>
          <w:sz w:val="24"/>
          <w:szCs w:val="24"/>
        </w:rPr>
        <w:t xml:space="preserve"> e suas prevalências,</w:t>
      </w:r>
      <w:r w:rsidRPr="00121ADB">
        <w:rPr>
          <w:rFonts w:ascii="Arial" w:hAnsi="Arial" w:cs="Arial"/>
          <w:sz w:val="24"/>
          <w:szCs w:val="24"/>
        </w:rPr>
        <w:t xml:space="preserve"> ferramentas diagnósticas utilizadas. </w:t>
      </w:r>
    </w:p>
    <w:p w14:paraId="77B1942D" w14:textId="3DFCE7A8" w:rsidR="00121ADB" w:rsidRDefault="00121ADB" w:rsidP="008F4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1ADB">
        <w:rPr>
          <w:rFonts w:ascii="Arial" w:hAnsi="Arial" w:cs="Arial"/>
          <w:sz w:val="24"/>
          <w:szCs w:val="24"/>
        </w:rPr>
        <w:t xml:space="preserve">A ferramenta “JBI </w:t>
      </w:r>
      <w:proofErr w:type="spellStart"/>
      <w:r w:rsidRPr="00121ADB">
        <w:rPr>
          <w:rFonts w:ascii="Arial" w:hAnsi="Arial" w:cs="Arial"/>
          <w:sz w:val="24"/>
          <w:szCs w:val="24"/>
        </w:rPr>
        <w:t>Critical</w:t>
      </w:r>
      <w:proofErr w:type="spellEnd"/>
      <w:r w:rsidRPr="00121A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ADB">
        <w:rPr>
          <w:rFonts w:ascii="Arial" w:hAnsi="Arial" w:cs="Arial"/>
          <w:sz w:val="24"/>
          <w:szCs w:val="24"/>
        </w:rPr>
        <w:t>appraisal</w:t>
      </w:r>
      <w:proofErr w:type="spellEnd"/>
      <w:r w:rsidRPr="00121ADB">
        <w:rPr>
          <w:rFonts w:ascii="Arial" w:hAnsi="Arial" w:cs="Arial"/>
          <w:sz w:val="24"/>
          <w:szCs w:val="24"/>
        </w:rPr>
        <w:t xml:space="preserve"> checklist for </w:t>
      </w:r>
      <w:proofErr w:type="spellStart"/>
      <w:r w:rsidRPr="00121ADB">
        <w:rPr>
          <w:rFonts w:ascii="Arial" w:hAnsi="Arial" w:cs="Arial"/>
          <w:sz w:val="24"/>
          <w:szCs w:val="24"/>
        </w:rPr>
        <w:t>studies</w:t>
      </w:r>
      <w:proofErr w:type="spellEnd"/>
      <w:r w:rsidRPr="00121A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ADB">
        <w:rPr>
          <w:rFonts w:ascii="Arial" w:hAnsi="Arial" w:cs="Arial"/>
          <w:sz w:val="24"/>
          <w:szCs w:val="24"/>
        </w:rPr>
        <w:t>reporting</w:t>
      </w:r>
      <w:proofErr w:type="spellEnd"/>
      <w:r w:rsidRPr="00121A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ADB">
        <w:rPr>
          <w:rFonts w:ascii="Arial" w:hAnsi="Arial" w:cs="Arial"/>
          <w:sz w:val="24"/>
          <w:szCs w:val="24"/>
        </w:rPr>
        <w:t>prevalence</w:t>
      </w:r>
      <w:proofErr w:type="spellEnd"/>
      <w:r w:rsidRPr="00121ADB">
        <w:rPr>
          <w:rFonts w:ascii="Arial" w:hAnsi="Arial" w:cs="Arial"/>
          <w:sz w:val="24"/>
          <w:szCs w:val="24"/>
        </w:rPr>
        <w:t xml:space="preserve"> data” </w:t>
      </w:r>
      <w:r>
        <w:rPr>
          <w:rFonts w:ascii="Arial" w:hAnsi="Arial" w:cs="Arial"/>
          <w:sz w:val="24"/>
          <w:szCs w:val="24"/>
        </w:rPr>
        <w:t>foi</w:t>
      </w:r>
      <w:r w:rsidRPr="00121ADB">
        <w:rPr>
          <w:rFonts w:ascii="Arial" w:hAnsi="Arial" w:cs="Arial"/>
          <w:sz w:val="24"/>
          <w:szCs w:val="24"/>
        </w:rPr>
        <w:t xml:space="preserve"> aplicada para avaliar o risco de viés </w:t>
      </w:r>
      <w:r w:rsidR="00D00BC7">
        <w:rPr>
          <w:rFonts w:ascii="Arial" w:hAnsi="Arial" w:cs="Arial"/>
          <w:sz w:val="24"/>
          <w:szCs w:val="24"/>
        </w:rPr>
        <w:t xml:space="preserve">(RV) </w:t>
      </w:r>
      <w:r w:rsidRPr="00121ADB">
        <w:rPr>
          <w:rFonts w:ascii="Arial" w:hAnsi="Arial" w:cs="Arial"/>
          <w:sz w:val="24"/>
          <w:szCs w:val="24"/>
        </w:rPr>
        <w:t>em cada estudo incluído</w:t>
      </w:r>
      <w:r>
        <w:rPr>
          <w:rFonts w:ascii="Arial" w:hAnsi="Arial" w:cs="Arial"/>
          <w:sz w:val="24"/>
          <w:szCs w:val="24"/>
        </w:rPr>
        <w:t>.</w:t>
      </w:r>
      <w:r w:rsidRPr="00121ADB">
        <w:rPr>
          <w:rFonts w:ascii="Arial" w:hAnsi="Arial" w:cs="Arial"/>
          <w:sz w:val="24"/>
          <w:szCs w:val="24"/>
        </w:rPr>
        <w:t xml:space="preserve"> Ela é composta por nove perguntas, que podem ser respondidas com “sim”, “não”, “incerto” ou “não aplicável”. Os pontos de corte foram definidos de acordo com uma revisão sistemática prévia utilizando a mesma ferramenta</w:t>
      </w:r>
      <w:r w:rsidR="00455615">
        <w:rPr>
          <w:rFonts w:ascii="Arial" w:hAnsi="Arial" w:cs="Arial"/>
          <w:sz w:val="24"/>
          <w:szCs w:val="24"/>
        </w:rPr>
        <w:t xml:space="preserve"> (Melo, 2023)</w:t>
      </w:r>
      <w:r w:rsidRPr="00121ADB">
        <w:rPr>
          <w:rFonts w:ascii="Arial" w:hAnsi="Arial" w:cs="Arial"/>
          <w:sz w:val="24"/>
          <w:szCs w:val="24"/>
        </w:rPr>
        <w:t xml:space="preserve">, sendo: </w:t>
      </w:r>
      <w:r w:rsidR="00D00BC7">
        <w:rPr>
          <w:rFonts w:ascii="Arial" w:hAnsi="Arial" w:cs="Arial"/>
          <w:sz w:val="24"/>
          <w:szCs w:val="24"/>
        </w:rPr>
        <w:t>RV</w:t>
      </w:r>
      <w:r w:rsidRPr="00121ADB">
        <w:rPr>
          <w:rFonts w:ascii="Arial" w:hAnsi="Arial" w:cs="Arial"/>
          <w:sz w:val="24"/>
          <w:szCs w:val="24"/>
        </w:rPr>
        <w:t xml:space="preserve"> alto quando um estudo atinja até 49% de respostas “sim”; moderado quando alcance entre 50% e 69%; e baixo risco</w:t>
      </w:r>
      <w:r>
        <w:rPr>
          <w:rFonts w:ascii="Arial" w:hAnsi="Arial" w:cs="Arial"/>
          <w:sz w:val="24"/>
          <w:szCs w:val="24"/>
        </w:rPr>
        <w:t xml:space="preserve"> </w:t>
      </w:r>
      <w:r w:rsidRPr="00121ADB">
        <w:rPr>
          <w:rFonts w:ascii="Arial" w:hAnsi="Arial" w:cs="Arial"/>
          <w:sz w:val="24"/>
          <w:szCs w:val="24"/>
        </w:rPr>
        <w:t xml:space="preserve">quando o estudo atinja </w:t>
      </w:r>
      <w:r w:rsidR="00757934">
        <w:rPr>
          <w:rFonts w:ascii="Arial" w:hAnsi="Arial" w:cs="Arial"/>
          <w:sz w:val="24"/>
          <w:szCs w:val="24"/>
        </w:rPr>
        <w:t xml:space="preserve">≥ </w:t>
      </w:r>
      <w:r w:rsidRPr="00121ADB">
        <w:rPr>
          <w:rFonts w:ascii="Arial" w:hAnsi="Arial" w:cs="Arial"/>
          <w:sz w:val="24"/>
          <w:szCs w:val="24"/>
        </w:rPr>
        <w:t xml:space="preserve">70%. </w:t>
      </w:r>
    </w:p>
    <w:p w14:paraId="42A206FD" w14:textId="0DCD26FE" w:rsidR="00241BD5" w:rsidRDefault="00241BD5" w:rsidP="00241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realizada</w:t>
      </w:r>
      <w:r w:rsidRPr="00241BD5">
        <w:rPr>
          <w:rFonts w:ascii="Arial" w:hAnsi="Arial" w:cs="Arial"/>
          <w:sz w:val="24"/>
          <w:szCs w:val="24"/>
        </w:rPr>
        <w:t xml:space="preserve"> uma metanálise para avaliar a prevalência agrupada de diferentes</w:t>
      </w:r>
      <w:r>
        <w:rPr>
          <w:rFonts w:ascii="Arial" w:hAnsi="Arial" w:cs="Arial"/>
          <w:sz w:val="24"/>
          <w:szCs w:val="24"/>
        </w:rPr>
        <w:t xml:space="preserve"> TM</w:t>
      </w:r>
      <w:r w:rsidR="00F641B6">
        <w:rPr>
          <w:rFonts w:ascii="Arial" w:hAnsi="Arial" w:cs="Arial"/>
          <w:sz w:val="24"/>
          <w:szCs w:val="24"/>
        </w:rPr>
        <w:t>s</w:t>
      </w:r>
      <w:r w:rsidRPr="00241BD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Foi usado</w:t>
      </w:r>
      <w:r w:rsidRPr="00241BD5">
        <w:rPr>
          <w:rFonts w:ascii="Arial" w:hAnsi="Arial" w:cs="Arial"/>
          <w:sz w:val="24"/>
          <w:szCs w:val="24"/>
        </w:rPr>
        <w:t xml:space="preserve"> o modelo de efeito </w:t>
      </w:r>
      <w:r w:rsidR="00153BE2">
        <w:rPr>
          <w:rFonts w:ascii="Arial" w:hAnsi="Arial" w:cs="Arial"/>
          <w:sz w:val="24"/>
          <w:szCs w:val="24"/>
        </w:rPr>
        <w:t>randômico</w:t>
      </w:r>
      <w:r w:rsidRPr="00241BD5">
        <w:rPr>
          <w:rFonts w:ascii="Arial" w:hAnsi="Arial" w:cs="Arial"/>
          <w:sz w:val="24"/>
          <w:szCs w:val="24"/>
        </w:rPr>
        <w:t xml:space="preserve"> de DerSimonian-Laird, e as </w:t>
      </w:r>
      <w:r w:rsidR="00150DAC">
        <w:rPr>
          <w:rFonts w:ascii="Arial" w:hAnsi="Arial" w:cs="Arial"/>
          <w:sz w:val="24"/>
          <w:szCs w:val="24"/>
        </w:rPr>
        <w:t xml:space="preserve">proporções </w:t>
      </w:r>
      <w:r w:rsidRPr="00241BD5">
        <w:rPr>
          <w:rFonts w:ascii="Arial" w:hAnsi="Arial" w:cs="Arial"/>
          <w:sz w:val="24"/>
          <w:szCs w:val="24"/>
        </w:rPr>
        <w:t xml:space="preserve">foram </w:t>
      </w:r>
      <w:r>
        <w:rPr>
          <w:rFonts w:ascii="Arial" w:hAnsi="Arial" w:cs="Arial"/>
          <w:sz w:val="24"/>
          <w:szCs w:val="24"/>
        </w:rPr>
        <w:t>analisadas</w:t>
      </w:r>
      <w:r w:rsidRPr="00241BD5">
        <w:rPr>
          <w:rFonts w:ascii="Arial" w:hAnsi="Arial" w:cs="Arial"/>
          <w:sz w:val="24"/>
          <w:szCs w:val="24"/>
        </w:rPr>
        <w:t xml:space="preserve"> por meio da transformação de Freeman-Tukey. A heterogeneidade foi avaliada </w:t>
      </w:r>
      <w:r w:rsidR="00DA5083">
        <w:rPr>
          <w:rFonts w:ascii="Arial" w:hAnsi="Arial" w:cs="Arial"/>
          <w:sz w:val="24"/>
          <w:szCs w:val="24"/>
        </w:rPr>
        <w:t>por meio da</w:t>
      </w:r>
      <w:r w:rsidRPr="00241BD5">
        <w:rPr>
          <w:rFonts w:ascii="Arial" w:hAnsi="Arial" w:cs="Arial"/>
          <w:sz w:val="24"/>
          <w:szCs w:val="24"/>
        </w:rPr>
        <w:t xml:space="preserve"> estatística I². Os resultados </w:t>
      </w:r>
      <w:r w:rsidR="00620CA8">
        <w:rPr>
          <w:rFonts w:ascii="Arial" w:hAnsi="Arial" w:cs="Arial"/>
          <w:sz w:val="24"/>
          <w:szCs w:val="24"/>
        </w:rPr>
        <w:t>estão</w:t>
      </w:r>
      <w:r w:rsidRPr="00241BD5">
        <w:rPr>
          <w:rFonts w:ascii="Arial" w:hAnsi="Arial" w:cs="Arial"/>
          <w:sz w:val="24"/>
          <w:szCs w:val="24"/>
        </w:rPr>
        <w:t xml:space="preserve"> apresentados com intervalos de confiança de 95% (IC 95%). As análises foram realizadas </w:t>
      </w:r>
      <w:r w:rsidR="00F52E28">
        <w:rPr>
          <w:rFonts w:ascii="Arial" w:hAnsi="Arial" w:cs="Arial"/>
          <w:sz w:val="24"/>
          <w:szCs w:val="24"/>
        </w:rPr>
        <w:t>no</w:t>
      </w:r>
      <w:r w:rsidR="006A637E">
        <w:rPr>
          <w:rFonts w:ascii="Arial" w:hAnsi="Arial" w:cs="Arial"/>
          <w:sz w:val="24"/>
          <w:szCs w:val="24"/>
        </w:rPr>
        <w:t xml:space="preserve"> software</w:t>
      </w:r>
      <w:r w:rsidRPr="00241BD5">
        <w:rPr>
          <w:rFonts w:ascii="Arial" w:hAnsi="Arial" w:cs="Arial"/>
          <w:sz w:val="24"/>
          <w:szCs w:val="24"/>
        </w:rPr>
        <w:t xml:space="preserve"> R (versão 4.0.5).</w:t>
      </w:r>
    </w:p>
    <w:p w14:paraId="3CF367CD" w14:textId="14EF07AD" w:rsidR="006B7915" w:rsidRDefault="00377877" w:rsidP="006B79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Realizamos</w:t>
      </w:r>
      <w:r w:rsidR="001E21BC">
        <w:rPr>
          <w:rFonts w:ascii="Arial" w:hAnsi="Arial" w:cs="Arial"/>
          <w:sz w:val="24"/>
          <w:szCs w:val="24"/>
        </w:rPr>
        <w:t xml:space="preserve"> uma </w:t>
      </w:r>
      <w:r w:rsidR="00241BD5" w:rsidRPr="00241BD5">
        <w:rPr>
          <w:rFonts w:ascii="Arial" w:hAnsi="Arial" w:cs="Arial"/>
          <w:sz w:val="24"/>
          <w:szCs w:val="24"/>
        </w:rPr>
        <w:t xml:space="preserve">análise de subgrupo para explorar o período de coleta de dados dicotomizado (início pré-pandêmico </w:t>
      </w:r>
      <w:r w:rsidR="002E263B">
        <w:rPr>
          <w:rFonts w:ascii="Arial" w:hAnsi="Arial" w:cs="Arial"/>
          <w:sz w:val="24"/>
          <w:szCs w:val="24"/>
        </w:rPr>
        <w:t>e</w:t>
      </w:r>
      <w:r w:rsidR="00241BD5" w:rsidRPr="00241BD5">
        <w:rPr>
          <w:rFonts w:ascii="Arial" w:hAnsi="Arial" w:cs="Arial"/>
          <w:sz w:val="24"/>
          <w:szCs w:val="24"/>
        </w:rPr>
        <w:t xml:space="preserve"> início pós-pandêmico) na prevalência dos </w:t>
      </w:r>
      <w:r w:rsidR="00DA5083">
        <w:rPr>
          <w:rFonts w:ascii="Arial" w:hAnsi="Arial" w:cs="Arial"/>
          <w:sz w:val="24"/>
          <w:szCs w:val="24"/>
        </w:rPr>
        <w:t>TM</w:t>
      </w:r>
      <w:r w:rsidR="002E263B">
        <w:rPr>
          <w:rFonts w:ascii="Arial" w:hAnsi="Arial" w:cs="Arial"/>
          <w:sz w:val="24"/>
          <w:szCs w:val="24"/>
        </w:rPr>
        <w:t>s</w:t>
      </w:r>
      <w:r w:rsidR="00B902C1">
        <w:rPr>
          <w:rFonts w:ascii="Arial" w:hAnsi="Arial" w:cs="Arial"/>
          <w:sz w:val="24"/>
          <w:szCs w:val="24"/>
        </w:rPr>
        <w:t>,</w:t>
      </w:r>
      <w:r w:rsidR="00DA5083">
        <w:rPr>
          <w:rFonts w:ascii="Arial" w:hAnsi="Arial" w:cs="Arial"/>
          <w:sz w:val="24"/>
          <w:szCs w:val="24"/>
        </w:rPr>
        <w:t xml:space="preserve"> </w:t>
      </w:r>
      <w:r w:rsidR="00241BD5" w:rsidRPr="00241BD5">
        <w:rPr>
          <w:rFonts w:ascii="Arial" w:hAnsi="Arial" w:cs="Arial"/>
          <w:sz w:val="24"/>
          <w:szCs w:val="24"/>
        </w:rPr>
        <w:t>sempre que pelo menos oito estudos est</w:t>
      </w:r>
      <w:r w:rsidR="00B902C1">
        <w:rPr>
          <w:rFonts w:ascii="Arial" w:hAnsi="Arial" w:cs="Arial"/>
          <w:sz w:val="24"/>
          <w:szCs w:val="24"/>
        </w:rPr>
        <w:t>i</w:t>
      </w:r>
      <w:r w:rsidR="00241BD5" w:rsidRPr="00241BD5">
        <w:rPr>
          <w:rFonts w:ascii="Arial" w:hAnsi="Arial" w:cs="Arial"/>
          <w:sz w:val="24"/>
          <w:szCs w:val="24"/>
        </w:rPr>
        <w:t>v</w:t>
      </w:r>
      <w:r w:rsidR="00B902C1">
        <w:rPr>
          <w:rFonts w:ascii="Arial" w:hAnsi="Arial" w:cs="Arial"/>
          <w:sz w:val="24"/>
          <w:szCs w:val="24"/>
        </w:rPr>
        <w:t>essem</w:t>
      </w:r>
      <w:r w:rsidR="00241BD5" w:rsidRPr="00241BD5">
        <w:rPr>
          <w:rFonts w:ascii="Arial" w:hAnsi="Arial" w:cs="Arial"/>
          <w:sz w:val="24"/>
          <w:szCs w:val="24"/>
        </w:rPr>
        <w:t xml:space="preserve"> disponíveis para cada período.</w:t>
      </w:r>
      <w:r w:rsidR="00B554DC">
        <w:rPr>
          <w:rFonts w:ascii="Arial" w:hAnsi="Arial" w:cs="Arial"/>
          <w:sz w:val="24"/>
          <w:szCs w:val="24"/>
        </w:rPr>
        <w:t xml:space="preserve"> </w:t>
      </w:r>
      <w:r w:rsidR="00B554DC" w:rsidRPr="001A69DF">
        <w:rPr>
          <w:rFonts w:ascii="Arial" w:hAnsi="Arial" w:cs="Arial"/>
          <w:sz w:val="24"/>
          <w:szCs w:val="24"/>
        </w:rPr>
        <w:t xml:space="preserve">Considerou-se </w:t>
      </w:r>
      <w:r w:rsidR="00BC7DAE">
        <w:rPr>
          <w:rFonts w:ascii="Arial" w:hAnsi="Arial" w:cs="Arial"/>
          <w:sz w:val="24"/>
          <w:szCs w:val="24"/>
        </w:rPr>
        <w:t>como</w:t>
      </w:r>
      <w:r w:rsidR="00B554DC" w:rsidRPr="001A69DF">
        <w:rPr>
          <w:rFonts w:ascii="Arial" w:hAnsi="Arial" w:cs="Arial"/>
          <w:sz w:val="24"/>
          <w:szCs w:val="24"/>
        </w:rPr>
        <w:t xml:space="preserve"> </w:t>
      </w:r>
      <w:r w:rsidR="00B17C36">
        <w:rPr>
          <w:rFonts w:ascii="Arial" w:hAnsi="Arial" w:cs="Arial"/>
          <w:sz w:val="24"/>
          <w:szCs w:val="24"/>
        </w:rPr>
        <w:t>marco</w:t>
      </w:r>
      <w:r w:rsidR="001E21BC">
        <w:rPr>
          <w:rFonts w:ascii="Arial" w:hAnsi="Arial" w:cs="Arial"/>
          <w:sz w:val="24"/>
          <w:szCs w:val="24"/>
        </w:rPr>
        <w:t xml:space="preserve"> temporal</w:t>
      </w:r>
      <w:r w:rsidR="00B554DC" w:rsidRPr="001A69DF">
        <w:rPr>
          <w:rFonts w:ascii="Arial" w:hAnsi="Arial" w:cs="Arial"/>
          <w:sz w:val="24"/>
          <w:szCs w:val="24"/>
        </w:rPr>
        <w:t xml:space="preserve"> se a coleta de dados </w:t>
      </w:r>
      <w:r w:rsidR="00B41738">
        <w:rPr>
          <w:rFonts w:ascii="Arial" w:hAnsi="Arial" w:cs="Arial"/>
          <w:sz w:val="24"/>
          <w:szCs w:val="24"/>
        </w:rPr>
        <w:t>do estudo</w:t>
      </w:r>
      <w:r>
        <w:rPr>
          <w:rFonts w:ascii="Arial" w:hAnsi="Arial" w:cs="Arial"/>
          <w:sz w:val="24"/>
          <w:szCs w:val="24"/>
        </w:rPr>
        <w:t xml:space="preserve"> foi realizada </w:t>
      </w:r>
      <w:r w:rsidR="001E21BC">
        <w:rPr>
          <w:rFonts w:ascii="Arial" w:hAnsi="Arial" w:cs="Arial"/>
          <w:sz w:val="24"/>
          <w:szCs w:val="24"/>
        </w:rPr>
        <w:t xml:space="preserve">antes ou </w:t>
      </w:r>
      <w:r w:rsidR="00B554DC" w:rsidRPr="001A69DF">
        <w:rPr>
          <w:rFonts w:ascii="Arial" w:hAnsi="Arial" w:cs="Arial"/>
          <w:sz w:val="24"/>
          <w:szCs w:val="24"/>
        </w:rPr>
        <w:t xml:space="preserve">após março de 2020, quando as primeiras medidas de </w:t>
      </w:r>
      <w:r w:rsidR="005F7880">
        <w:rPr>
          <w:rFonts w:ascii="Arial" w:hAnsi="Arial" w:cs="Arial"/>
          <w:sz w:val="24"/>
          <w:szCs w:val="24"/>
        </w:rPr>
        <w:t xml:space="preserve">isolamento e </w:t>
      </w:r>
      <w:r w:rsidR="00B554DC" w:rsidRPr="001A69DF">
        <w:rPr>
          <w:rFonts w:ascii="Arial" w:hAnsi="Arial" w:cs="Arial"/>
          <w:sz w:val="24"/>
          <w:szCs w:val="24"/>
        </w:rPr>
        <w:t>distanciamento físico foram implementadas no Brasil</w:t>
      </w:r>
      <w:r w:rsidR="001E21BC">
        <w:rPr>
          <w:rFonts w:ascii="Arial" w:hAnsi="Arial" w:cs="Arial"/>
          <w:sz w:val="24"/>
          <w:szCs w:val="24"/>
        </w:rPr>
        <w:t>.</w:t>
      </w:r>
      <w:r w:rsidR="001123E1">
        <w:rPr>
          <w:rFonts w:ascii="Arial" w:hAnsi="Arial" w:cs="Arial"/>
          <w:sz w:val="24"/>
          <w:szCs w:val="24"/>
        </w:rPr>
        <w:t xml:space="preserve"> </w:t>
      </w:r>
    </w:p>
    <w:p w14:paraId="57D8BAF5" w14:textId="0781361E" w:rsidR="008F4C30" w:rsidRPr="00973054" w:rsidRDefault="008F4C30" w:rsidP="00D83F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73054">
        <w:rPr>
          <w:rFonts w:ascii="Arial" w:hAnsi="Arial" w:cs="Arial"/>
          <w:b/>
          <w:bCs/>
          <w:sz w:val="24"/>
          <w:szCs w:val="24"/>
        </w:rPr>
        <w:lastRenderedPageBreak/>
        <w:t>RESULTADOS E DISCUSSÃO</w:t>
      </w:r>
    </w:p>
    <w:p w14:paraId="217E5887" w14:textId="4B71F35E" w:rsidR="00865ECA" w:rsidRDefault="008F4C30" w:rsidP="00973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C30">
        <w:rPr>
          <w:rFonts w:ascii="Arial" w:hAnsi="Arial" w:cs="Arial"/>
          <w:sz w:val="24"/>
          <w:szCs w:val="24"/>
        </w:rPr>
        <w:t xml:space="preserve">Identificamos 2572 </w:t>
      </w:r>
      <w:r>
        <w:rPr>
          <w:rFonts w:ascii="Arial" w:hAnsi="Arial" w:cs="Arial"/>
          <w:sz w:val="24"/>
          <w:szCs w:val="24"/>
        </w:rPr>
        <w:t>artigos</w:t>
      </w:r>
      <w:r w:rsidRPr="008F4C30">
        <w:rPr>
          <w:rFonts w:ascii="Arial" w:hAnsi="Arial" w:cs="Arial"/>
          <w:sz w:val="24"/>
          <w:szCs w:val="24"/>
        </w:rPr>
        <w:t xml:space="preserve"> através da pesquisa </w:t>
      </w:r>
      <w:r>
        <w:rPr>
          <w:rFonts w:ascii="Arial" w:hAnsi="Arial" w:cs="Arial"/>
          <w:sz w:val="24"/>
          <w:szCs w:val="24"/>
        </w:rPr>
        <w:t>nas</w:t>
      </w:r>
      <w:r w:rsidRPr="008F4C30">
        <w:rPr>
          <w:rFonts w:ascii="Arial" w:hAnsi="Arial" w:cs="Arial"/>
          <w:sz w:val="24"/>
          <w:szCs w:val="24"/>
        </w:rPr>
        <w:t xml:space="preserve"> bases de dados</w:t>
      </w:r>
      <w:r w:rsidR="0094345A">
        <w:rPr>
          <w:rFonts w:ascii="Arial" w:hAnsi="Arial" w:cs="Arial"/>
          <w:sz w:val="24"/>
          <w:szCs w:val="24"/>
        </w:rPr>
        <w:t xml:space="preserve">, </w:t>
      </w:r>
      <w:r w:rsidRPr="008F4C30">
        <w:rPr>
          <w:rFonts w:ascii="Arial" w:hAnsi="Arial" w:cs="Arial"/>
          <w:sz w:val="24"/>
          <w:szCs w:val="24"/>
        </w:rPr>
        <w:t xml:space="preserve">dos quais 217 artigos completos foram revisados, e 126 </w:t>
      </w:r>
      <w:r w:rsidR="00DA5083">
        <w:rPr>
          <w:rFonts w:ascii="Arial" w:hAnsi="Arial" w:cs="Arial"/>
          <w:sz w:val="24"/>
          <w:szCs w:val="24"/>
        </w:rPr>
        <w:t>incluídos</w:t>
      </w:r>
      <w:r w:rsidRPr="008F4C30">
        <w:rPr>
          <w:rFonts w:ascii="Arial" w:hAnsi="Arial" w:cs="Arial"/>
          <w:sz w:val="24"/>
          <w:szCs w:val="24"/>
        </w:rPr>
        <w:t>.</w:t>
      </w:r>
    </w:p>
    <w:p w14:paraId="61BB0D54" w14:textId="6AB6661F" w:rsidR="008F4C30" w:rsidRPr="008F4C30" w:rsidRDefault="008F4C30" w:rsidP="00973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C30">
        <w:rPr>
          <w:rFonts w:ascii="Arial" w:hAnsi="Arial" w:cs="Arial"/>
          <w:sz w:val="24"/>
          <w:szCs w:val="24"/>
        </w:rPr>
        <w:t xml:space="preserve">Um total de 47513 estudantes de medicina </w:t>
      </w:r>
      <w:r w:rsidR="00865ECA">
        <w:rPr>
          <w:rFonts w:ascii="Arial" w:hAnsi="Arial" w:cs="Arial"/>
          <w:sz w:val="24"/>
          <w:szCs w:val="24"/>
        </w:rPr>
        <w:t>foram</w:t>
      </w:r>
      <w:r w:rsidRPr="008F4C30">
        <w:rPr>
          <w:rFonts w:ascii="Arial" w:hAnsi="Arial" w:cs="Arial"/>
          <w:sz w:val="24"/>
          <w:szCs w:val="24"/>
        </w:rPr>
        <w:t xml:space="preserve"> </w:t>
      </w:r>
      <w:r w:rsidR="00DA5083">
        <w:rPr>
          <w:rFonts w:ascii="Arial" w:hAnsi="Arial" w:cs="Arial"/>
          <w:sz w:val="24"/>
          <w:szCs w:val="24"/>
        </w:rPr>
        <w:t>analisados</w:t>
      </w:r>
      <w:r w:rsidRPr="008F4C30">
        <w:rPr>
          <w:rFonts w:ascii="Arial" w:hAnsi="Arial" w:cs="Arial"/>
          <w:sz w:val="24"/>
          <w:szCs w:val="24"/>
        </w:rPr>
        <w:t xml:space="preserve">. A média ou mediana de idade dos estudantes variou de 20 a 27,7 anos e a proporção de participantes do sexo feminino variou de 39,1% a 80,6%. </w:t>
      </w:r>
      <w:r w:rsidR="00CD4B47">
        <w:rPr>
          <w:rFonts w:ascii="Arial" w:hAnsi="Arial" w:cs="Arial"/>
          <w:sz w:val="24"/>
          <w:szCs w:val="24"/>
        </w:rPr>
        <w:t xml:space="preserve">Ao todo, </w:t>
      </w:r>
      <w:r w:rsidRPr="008F4C30">
        <w:rPr>
          <w:rFonts w:ascii="Arial" w:hAnsi="Arial" w:cs="Arial"/>
          <w:sz w:val="24"/>
          <w:szCs w:val="24"/>
        </w:rPr>
        <w:t xml:space="preserve">102 estudos </w:t>
      </w:r>
      <w:r w:rsidR="00881F1A">
        <w:rPr>
          <w:rFonts w:ascii="Arial" w:hAnsi="Arial" w:cs="Arial"/>
          <w:sz w:val="24"/>
          <w:szCs w:val="24"/>
        </w:rPr>
        <w:t xml:space="preserve">foram </w:t>
      </w:r>
      <w:r w:rsidRPr="008F4C30">
        <w:rPr>
          <w:rFonts w:ascii="Arial" w:hAnsi="Arial" w:cs="Arial"/>
          <w:sz w:val="24"/>
          <w:szCs w:val="24"/>
        </w:rPr>
        <w:t xml:space="preserve">classificados como pré-início da COVID, 20 </w:t>
      </w:r>
      <w:r w:rsidR="00881F1A">
        <w:rPr>
          <w:rFonts w:ascii="Arial" w:hAnsi="Arial" w:cs="Arial"/>
          <w:sz w:val="24"/>
          <w:szCs w:val="24"/>
        </w:rPr>
        <w:t xml:space="preserve">como </w:t>
      </w:r>
      <w:r w:rsidRPr="008F4C30">
        <w:rPr>
          <w:rFonts w:ascii="Arial" w:hAnsi="Arial" w:cs="Arial"/>
          <w:sz w:val="24"/>
          <w:szCs w:val="24"/>
        </w:rPr>
        <w:t xml:space="preserve">pós-início da COVID e </w:t>
      </w:r>
      <w:r w:rsidR="001D1DC2">
        <w:rPr>
          <w:rFonts w:ascii="Arial" w:hAnsi="Arial" w:cs="Arial"/>
          <w:sz w:val="24"/>
          <w:szCs w:val="24"/>
        </w:rPr>
        <w:t>quatro</w:t>
      </w:r>
      <w:r w:rsidRPr="008F4C30">
        <w:rPr>
          <w:rFonts w:ascii="Arial" w:hAnsi="Arial" w:cs="Arial"/>
          <w:sz w:val="24"/>
          <w:szCs w:val="24"/>
        </w:rPr>
        <w:t xml:space="preserve"> foram indeterminados. </w:t>
      </w:r>
      <w:r w:rsidR="00477494">
        <w:rPr>
          <w:rFonts w:ascii="Arial" w:hAnsi="Arial" w:cs="Arial"/>
          <w:sz w:val="24"/>
          <w:szCs w:val="24"/>
        </w:rPr>
        <w:t>Territorialmente</w:t>
      </w:r>
      <w:r w:rsidRPr="008F4C30">
        <w:rPr>
          <w:rFonts w:ascii="Arial" w:hAnsi="Arial" w:cs="Arial"/>
          <w:sz w:val="24"/>
          <w:szCs w:val="24"/>
        </w:rPr>
        <w:t xml:space="preserve">, 35 estudos foram conduzidos </w:t>
      </w:r>
      <w:r w:rsidR="00DA5083">
        <w:rPr>
          <w:rFonts w:ascii="Arial" w:hAnsi="Arial" w:cs="Arial"/>
          <w:sz w:val="24"/>
          <w:szCs w:val="24"/>
        </w:rPr>
        <w:t>no</w:t>
      </w:r>
      <w:r w:rsidRPr="008F4C30">
        <w:rPr>
          <w:rFonts w:ascii="Arial" w:hAnsi="Arial" w:cs="Arial"/>
          <w:sz w:val="24"/>
          <w:szCs w:val="24"/>
        </w:rPr>
        <w:t xml:space="preserve"> </w:t>
      </w:r>
      <w:r w:rsidR="00DA5083">
        <w:rPr>
          <w:rFonts w:ascii="Arial" w:hAnsi="Arial" w:cs="Arial"/>
          <w:sz w:val="24"/>
          <w:szCs w:val="24"/>
        </w:rPr>
        <w:t>Nordeste</w:t>
      </w:r>
      <w:r w:rsidRPr="008F4C30">
        <w:rPr>
          <w:rFonts w:ascii="Arial" w:hAnsi="Arial" w:cs="Arial"/>
          <w:sz w:val="24"/>
          <w:szCs w:val="24"/>
        </w:rPr>
        <w:t xml:space="preserve">, dois na região Norte, 49 </w:t>
      </w:r>
      <w:r w:rsidR="00DA5083">
        <w:rPr>
          <w:rFonts w:ascii="Arial" w:hAnsi="Arial" w:cs="Arial"/>
          <w:sz w:val="24"/>
          <w:szCs w:val="24"/>
        </w:rPr>
        <w:t>no Sudeste</w:t>
      </w:r>
      <w:r w:rsidRPr="008F4C30">
        <w:rPr>
          <w:rFonts w:ascii="Arial" w:hAnsi="Arial" w:cs="Arial"/>
          <w:sz w:val="24"/>
          <w:szCs w:val="24"/>
        </w:rPr>
        <w:t>, cinco n</w:t>
      </w:r>
      <w:r w:rsidR="00DA5083">
        <w:rPr>
          <w:rFonts w:ascii="Arial" w:hAnsi="Arial" w:cs="Arial"/>
          <w:sz w:val="24"/>
          <w:szCs w:val="24"/>
        </w:rPr>
        <w:t>o Centro-Oeste</w:t>
      </w:r>
      <w:r w:rsidRPr="008F4C30">
        <w:rPr>
          <w:rFonts w:ascii="Arial" w:hAnsi="Arial" w:cs="Arial"/>
          <w:sz w:val="24"/>
          <w:szCs w:val="24"/>
        </w:rPr>
        <w:t xml:space="preserve"> e 24 n</w:t>
      </w:r>
      <w:r w:rsidR="00881F1A">
        <w:rPr>
          <w:rFonts w:ascii="Arial" w:hAnsi="Arial" w:cs="Arial"/>
          <w:sz w:val="24"/>
          <w:szCs w:val="24"/>
        </w:rPr>
        <w:t>o</w:t>
      </w:r>
      <w:r w:rsidRPr="008F4C30">
        <w:rPr>
          <w:rFonts w:ascii="Arial" w:hAnsi="Arial" w:cs="Arial"/>
          <w:sz w:val="24"/>
          <w:szCs w:val="24"/>
        </w:rPr>
        <w:t xml:space="preserve"> Sul; oito foram estudos multicêntricos e três </w:t>
      </w:r>
      <w:r w:rsidR="002D4255">
        <w:rPr>
          <w:rFonts w:ascii="Arial" w:hAnsi="Arial" w:cs="Arial"/>
          <w:sz w:val="24"/>
          <w:szCs w:val="24"/>
        </w:rPr>
        <w:t>indeterminados</w:t>
      </w:r>
      <w:r w:rsidRPr="008F4C30">
        <w:rPr>
          <w:rFonts w:ascii="Arial" w:hAnsi="Arial" w:cs="Arial"/>
          <w:sz w:val="24"/>
          <w:szCs w:val="24"/>
        </w:rPr>
        <w:t xml:space="preserve">. </w:t>
      </w:r>
    </w:p>
    <w:p w14:paraId="4567EBF3" w14:textId="36287BBE" w:rsidR="008F4C30" w:rsidRPr="008F4C30" w:rsidRDefault="00DA5083" w:rsidP="00973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8F4C30" w:rsidRPr="008F4C30">
        <w:rPr>
          <w:rFonts w:ascii="Arial" w:hAnsi="Arial" w:cs="Arial"/>
          <w:sz w:val="24"/>
          <w:szCs w:val="24"/>
        </w:rPr>
        <w:t xml:space="preserve"> avaliação </w:t>
      </w:r>
      <w:r w:rsidR="00D00BC7">
        <w:rPr>
          <w:rFonts w:ascii="Arial" w:hAnsi="Arial" w:cs="Arial"/>
          <w:sz w:val="24"/>
          <w:szCs w:val="24"/>
        </w:rPr>
        <w:t>do RV</w:t>
      </w:r>
      <w:r w:rsidR="008F4C30" w:rsidRPr="008F4C30">
        <w:rPr>
          <w:rFonts w:ascii="Arial" w:hAnsi="Arial" w:cs="Arial"/>
          <w:sz w:val="24"/>
          <w:szCs w:val="24"/>
        </w:rPr>
        <w:t xml:space="preserve">, 37 (29,4%) estudos foram classificados como de baixo risco, 66 (52,4%) como de risco moderado e 23 (18,2%) como de alto </w:t>
      </w:r>
      <w:r w:rsidR="00D00BC7">
        <w:rPr>
          <w:rFonts w:ascii="Arial" w:hAnsi="Arial" w:cs="Arial"/>
          <w:sz w:val="24"/>
          <w:szCs w:val="24"/>
        </w:rPr>
        <w:t>RV</w:t>
      </w:r>
      <w:r w:rsidR="008F4C30" w:rsidRPr="008F4C30">
        <w:rPr>
          <w:rFonts w:ascii="Arial" w:hAnsi="Arial" w:cs="Arial"/>
          <w:sz w:val="24"/>
          <w:szCs w:val="24"/>
        </w:rPr>
        <w:t xml:space="preserve">. </w:t>
      </w:r>
    </w:p>
    <w:p w14:paraId="2CE769FF" w14:textId="07AA1A87" w:rsidR="001B5669" w:rsidRDefault="00DA5083" w:rsidP="00973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="008F4C30" w:rsidRPr="008F4C30">
        <w:rPr>
          <w:rFonts w:ascii="Arial" w:hAnsi="Arial" w:cs="Arial"/>
          <w:sz w:val="24"/>
          <w:szCs w:val="24"/>
        </w:rPr>
        <w:t xml:space="preserve"> </w:t>
      </w:r>
      <w:r w:rsidR="00315C23">
        <w:rPr>
          <w:rFonts w:ascii="Arial" w:hAnsi="Arial" w:cs="Arial"/>
          <w:sz w:val="24"/>
          <w:szCs w:val="24"/>
        </w:rPr>
        <w:t xml:space="preserve">taxas de </w:t>
      </w:r>
      <w:r w:rsidR="008F4C30" w:rsidRPr="008F4C30">
        <w:rPr>
          <w:rFonts w:ascii="Arial" w:hAnsi="Arial" w:cs="Arial"/>
          <w:sz w:val="24"/>
          <w:szCs w:val="24"/>
        </w:rPr>
        <w:t xml:space="preserve">prevalência </w:t>
      </w:r>
      <w:r w:rsidR="00315C23">
        <w:rPr>
          <w:rFonts w:ascii="Arial" w:hAnsi="Arial" w:cs="Arial"/>
          <w:sz w:val="24"/>
          <w:szCs w:val="24"/>
        </w:rPr>
        <w:t>de todos os TMs</w:t>
      </w:r>
      <w:r w:rsidR="008F4C30" w:rsidRPr="008F4C30">
        <w:rPr>
          <w:rFonts w:ascii="Arial" w:hAnsi="Arial" w:cs="Arial"/>
          <w:sz w:val="24"/>
          <w:szCs w:val="24"/>
        </w:rPr>
        <w:t xml:space="preserve"> </w:t>
      </w:r>
      <w:r w:rsidR="00315C23">
        <w:rPr>
          <w:rFonts w:ascii="Arial" w:hAnsi="Arial" w:cs="Arial"/>
          <w:sz w:val="24"/>
          <w:szCs w:val="24"/>
        </w:rPr>
        <w:t xml:space="preserve">analisados </w:t>
      </w:r>
      <w:r w:rsidR="008F4C30" w:rsidRPr="008F4C30">
        <w:rPr>
          <w:rFonts w:ascii="Arial" w:hAnsi="Arial" w:cs="Arial"/>
          <w:sz w:val="24"/>
          <w:szCs w:val="24"/>
        </w:rPr>
        <w:t>estão exibidas na Tabela 1. Na análise de subgrupos com base no período d</w:t>
      </w:r>
      <w:r w:rsidR="004C610F">
        <w:rPr>
          <w:rFonts w:ascii="Arial" w:hAnsi="Arial" w:cs="Arial"/>
          <w:sz w:val="24"/>
          <w:szCs w:val="24"/>
        </w:rPr>
        <w:t>a</w:t>
      </w:r>
      <w:r w:rsidR="008F4C30" w:rsidRPr="008F4C30">
        <w:rPr>
          <w:rFonts w:ascii="Arial" w:hAnsi="Arial" w:cs="Arial"/>
          <w:sz w:val="24"/>
          <w:szCs w:val="24"/>
        </w:rPr>
        <w:t xml:space="preserve"> coleta de dados, 41 estudos pré-início da COVID (n=20084 sujeitos) avaliaram </w:t>
      </w:r>
      <w:r w:rsidR="00E66FD0">
        <w:rPr>
          <w:rFonts w:ascii="Arial" w:hAnsi="Arial" w:cs="Arial"/>
          <w:sz w:val="24"/>
          <w:szCs w:val="24"/>
        </w:rPr>
        <w:t>sintomas</w:t>
      </w:r>
      <w:r w:rsidR="008F4C30" w:rsidRPr="008F4C30">
        <w:rPr>
          <w:rFonts w:ascii="Arial" w:hAnsi="Arial" w:cs="Arial"/>
          <w:sz w:val="24"/>
          <w:szCs w:val="24"/>
        </w:rPr>
        <w:t xml:space="preserve"> depress</w:t>
      </w:r>
      <w:r w:rsidR="00E66FD0">
        <w:rPr>
          <w:rFonts w:ascii="Arial" w:hAnsi="Arial" w:cs="Arial"/>
          <w:sz w:val="24"/>
          <w:szCs w:val="24"/>
        </w:rPr>
        <w:t>ivos</w:t>
      </w:r>
      <w:r w:rsidR="008F4C30" w:rsidRPr="008F4C30">
        <w:rPr>
          <w:rFonts w:ascii="Arial" w:hAnsi="Arial" w:cs="Arial"/>
          <w:sz w:val="24"/>
          <w:szCs w:val="24"/>
        </w:rPr>
        <w:t>, resultando em uma prevalência de 34,8% (29,1</w:t>
      </w:r>
      <w:r w:rsidR="002E5877">
        <w:rPr>
          <w:rFonts w:ascii="Arial" w:hAnsi="Arial" w:cs="Arial"/>
          <w:sz w:val="24"/>
          <w:szCs w:val="24"/>
        </w:rPr>
        <w:t xml:space="preserve"> – </w:t>
      </w:r>
      <w:r w:rsidR="008F4C30" w:rsidRPr="008F4C30">
        <w:rPr>
          <w:rFonts w:ascii="Arial" w:hAnsi="Arial" w:cs="Arial"/>
          <w:sz w:val="24"/>
          <w:szCs w:val="24"/>
        </w:rPr>
        <w:t xml:space="preserve">40,7, I²=98%), enquanto os </w:t>
      </w:r>
      <w:r w:rsidR="00865ECA">
        <w:rPr>
          <w:rFonts w:ascii="Arial" w:hAnsi="Arial" w:cs="Arial"/>
          <w:sz w:val="24"/>
          <w:szCs w:val="24"/>
        </w:rPr>
        <w:t>9</w:t>
      </w:r>
      <w:r w:rsidR="008F4C30" w:rsidRPr="008F4C30">
        <w:rPr>
          <w:rFonts w:ascii="Arial" w:hAnsi="Arial" w:cs="Arial"/>
          <w:sz w:val="24"/>
          <w:szCs w:val="24"/>
        </w:rPr>
        <w:t xml:space="preserve"> estudos pós-início da COVID (n=3988 sujeitos) </w:t>
      </w:r>
      <w:r w:rsidR="009A0E3F">
        <w:rPr>
          <w:rFonts w:ascii="Arial" w:hAnsi="Arial" w:cs="Arial"/>
          <w:sz w:val="24"/>
          <w:szCs w:val="24"/>
        </w:rPr>
        <w:t>resultaram em</w:t>
      </w:r>
      <w:r w:rsidR="008F4C30" w:rsidRPr="008F4C30">
        <w:rPr>
          <w:rFonts w:ascii="Arial" w:hAnsi="Arial" w:cs="Arial"/>
          <w:sz w:val="24"/>
          <w:szCs w:val="24"/>
        </w:rPr>
        <w:t xml:space="preserve"> uma prevalência de 43,4% (31,0</w:t>
      </w:r>
      <w:r w:rsidR="002E5877">
        <w:rPr>
          <w:rFonts w:ascii="Arial" w:hAnsi="Arial" w:cs="Arial"/>
          <w:sz w:val="24"/>
          <w:szCs w:val="24"/>
        </w:rPr>
        <w:t xml:space="preserve"> – </w:t>
      </w:r>
      <w:r w:rsidR="008F4C30" w:rsidRPr="008F4C30">
        <w:rPr>
          <w:rFonts w:ascii="Arial" w:hAnsi="Arial" w:cs="Arial"/>
          <w:sz w:val="24"/>
          <w:szCs w:val="24"/>
        </w:rPr>
        <w:t>56,3, I²=99%; teste para diferenças entre subgrupos p=0,22). Em relação aos sintomas de ansiedade, a análise de subgrupos mostrou que os 19 estudos pré-</w:t>
      </w:r>
      <w:r w:rsidR="0046492B">
        <w:rPr>
          <w:rFonts w:ascii="Arial" w:hAnsi="Arial" w:cs="Arial"/>
          <w:sz w:val="24"/>
          <w:szCs w:val="24"/>
        </w:rPr>
        <w:t xml:space="preserve">início da </w:t>
      </w:r>
      <w:r w:rsidR="008F4C30" w:rsidRPr="008F4C30">
        <w:rPr>
          <w:rFonts w:ascii="Arial" w:hAnsi="Arial" w:cs="Arial"/>
          <w:sz w:val="24"/>
          <w:szCs w:val="24"/>
        </w:rPr>
        <w:t>COVID (n=8306 sujeitos) resultaram em uma prevalência de 40,2% (31,0</w:t>
      </w:r>
      <w:r w:rsidR="0046492B">
        <w:rPr>
          <w:rFonts w:ascii="Arial" w:hAnsi="Arial" w:cs="Arial"/>
          <w:sz w:val="24"/>
          <w:szCs w:val="24"/>
        </w:rPr>
        <w:t xml:space="preserve"> – </w:t>
      </w:r>
      <w:r w:rsidR="008F4C30" w:rsidRPr="008F4C30">
        <w:rPr>
          <w:rFonts w:ascii="Arial" w:hAnsi="Arial" w:cs="Arial"/>
          <w:sz w:val="24"/>
          <w:szCs w:val="24"/>
        </w:rPr>
        <w:t>49,8, I²=99%), comparado a 43,1% (30,3</w:t>
      </w:r>
      <w:r w:rsidR="0046492B">
        <w:rPr>
          <w:rFonts w:ascii="Arial" w:hAnsi="Arial" w:cs="Arial"/>
          <w:sz w:val="24"/>
          <w:szCs w:val="24"/>
        </w:rPr>
        <w:t xml:space="preserve"> – </w:t>
      </w:r>
      <w:r w:rsidR="008F4C30" w:rsidRPr="008F4C30">
        <w:rPr>
          <w:rFonts w:ascii="Arial" w:hAnsi="Arial" w:cs="Arial"/>
          <w:sz w:val="24"/>
          <w:szCs w:val="24"/>
        </w:rPr>
        <w:t>56,4, I²=99%; p=0,73) dos dez estudos pós-</w:t>
      </w:r>
      <w:r w:rsidR="0046492B">
        <w:rPr>
          <w:rFonts w:ascii="Arial" w:hAnsi="Arial" w:cs="Arial"/>
          <w:sz w:val="24"/>
          <w:szCs w:val="24"/>
        </w:rPr>
        <w:t xml:space="preserve">início da </w:t>
      </w:r>
      <w:r w:rsidR="008F4C30" w:rsidRPr="008F4C30">
        <w:rPr>
          <w:rFonts w:ascii="Arial" w:hAnsi="Arial" w:cs="Arial"/>
          <w:sz w:val="24"/>
          <w:szCs w:val="24"/>
        </w:rPr>
        <w:t>COVID (n=4108 sujeitos)</w:t>
      </w:r>
      <w:r w:rsidR="00865ECA">
        <w:rPr>
          <w:rFonts w:ascii="Arial" w:hAnsi="Arial" w:cs="Arial"/>
          <w:sz w:val="24"/>
          <w:szCs w:val="24"/>
        </w:rPr>
        <w:t xml:space="preserve">. </w:t>
      </w:r>
      <w:r w:rsidR="008F4C30" w:rsidRPr="008F4C30">
        <w:rPr>
          <w:rFonts w:ascii="Arial" w:hAnsi="Arial" w:cs="Arial"/>
          <w:sz w:val="24"/>
          <w:szCs w:val="24"/>
        </w:rPr>
        <w:t>Devido ao número insuficiente de estudos pós-início da COVID, não foi possível realizar essa análise</w:t>
      </w:r>
      <w:r w:rsidR="005848C6">
        <w:rPr>
          <w:rFonts w:ascii="Arial" w:hAnsi="Arial" w:cs="Arial"/>
          <w:sz w:val="24"/>
          <w:szCs w:val="24"/>
        </w:rPr>
        <w:t xml:space="preserve"> </w:t>
      </w:r>
      <w:r w:rsidR="008F4C30" w:rsidRPr="008F4C30">
        <w:rPr>
          <w:rFonts w:ascii="Arial" w:hAnsi="Arial" w:cs="Arial"/>
          <w:sz w:val="24"/>
          <w:szCs w:val="24"/>
        </w:rPr>
        <w:t xml:space="preserve">para outros </w:t>
      </w:r>
      <w:r w:rsidR="00973054">
        <w:rPr>
          <w:rFonts w:ascii="Arial" w:hAnsi="Arial" w:cs="Arial"/>
          <w:sz w:val="24"/>
          <w:szCs w:val="24"/>
        </w:rPr>
        <w:t>TM</w:t>
      </w:r>
      <w:r w:rsidR="00904C79">
        <w:rPr>
          <w:rFonts w:ascii="Arial" w:hAnsi="Arial" w:cs="Arial"/>
          <w:sz w:val="24"/>
          <w:szCs w:val="24"/>
        </w:rPr>
        <w:t>s</w:t>
      </w:r>
      <w:r w:rsidR="008F4C30" w:rsidRPr="008F4C30">
        <w:rPr>
          <w:rFonts w:ascii="Arial" w:hAnsi="Arial" w:cs="Arial"/>
          <w:sz w:val="24"/>
          <w:szCs w:val="24"/>
        </w:rPr>
        <w:t>.</w:t>
      </w:r>
    </w:p>
    <w:p w14:paraId="3E3CA323" w14:textId="21CB95B9" w:rsidR="00FE250A" w:rsidRPr="00FE250A" w:rsidRDefault="00460A02" w:rsidP="00F910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</w:t>
      </w:r>
      <w:r w:rsidR="009900DC">
        <w:rPr>
          <w:rFonts w:ascii="Arial" w:hAnsi="Arial" w:cs="Arial"/>
          <w:sz w:val="24"/>
          <w:szCs w:val="24"/>
        </w:rPr>
        <w:t>a</w:t>
      </w:r>
      <w:r w:rsidR="00772F53">
        <w:rPr>
          <w:rFonts w:ascii="Arial" w:hAnsi="Arial" w:cs="Arial"/>
          <w:sz w:val="24"/>
          <w:szCs w:val="24"/>
        </w:rPr>
        <w:t xml:space="preserve">grega à extensa literatura que demonstra as altas taxas de TMs entre estudantes de medicina </w:t>
      </w:r>
      <w:r w:rsidR="0077777C">
        <w:rPr>
          <w:rFonts w:ascii="Arial" w:hAnsi="Arial" w:cs="Arial"/>
          <w:sz w:val="24"/>
          <w:szCs w:val="24"/>
        </w:rPr>
        <w:t>ao redor do mundo, especificamente no Brasil. Em nossa análise,</w:t>
      </w:r>
      <w:r w:rsidR="00C05FFB">
        <w:rPr>
          <w:rFonts w:ascii="Arial" w:hAnsi="Arial" w:cs="Arial"/>
          <w:sz w:val="24"/>
          <w:szCs w:val="24"/>
        </w:rPr>
        <w:t xml:space="preserve"> </w:t>
      </w:r>
      <w:r w:rsidR="003075E5" w:rsidRPr="003075E5">
        <w:rPr>
          <w:rFonts w:ascii="Arial" w:hAnsi="Arial" w:cs="Arial"/>
          <w:sz w:val="24"/>
          <w:szCs w:val="24"/>
        </w:rPr>
        <w:t xml:space="preserve">os sintomas de </w:t>
      </w:r>
      <w:r w:rsidR="003075E5">
        <w:rPr>
          <w:rFonts w:ascii="Arial" w:hAnsi="Arial" w:cs="Arial"/>
          <w:sz w:val="24"/>
          <w:szCs w:val="24"/>
        </w:rPr>
        <w:t>depressão</w:t>
      </w:r>
      <w:r w:rsidR="003075E5" w:rsidRPr="003075E5">
        <w:rPr>
          <w:rFonts w:ascii="Arial" w:hAnsi="Arial" w:cs="Arial"/>
          <w:sz w:val="24"/>
          <w:szCs w:val="24"/>
        </w:rPr>
        <w:t xml:space="preserve"> e ansiedade não apresentaram diferenças significativas em suas prevalências</w:t>
      </w:r>
      <w:r w:rsidR="00656B7B">
        <w:rPr>
          <w:rFonts w:ascii="Arial" w:hAnsi="Arial" w:cs="Arial"/>
          <w:sz w:val="24"/>
          <w:szCs w:val="24"/>
        </w:rPr>
        <w:t xml:space="preserve"> </w:t>
      </w:r>
      <w:r w:rsidR="00315C23">
        <w:rPr>
          <w:rFonts w:ascii="Arial" w:hAnsi="Arial" w:cs="Arial"/>
          <w:sz w:val="24"/>
          <w:szCs w:val="24"/>
        </w:rPr>
        <w:t>entre</w:t>
      </w:r>
      <w:r w:rsidR="00C05FFB">
        <w:rPr>
          <w:rFonts w:ascii="Arial" w:hAnsi="Arial" w:cs="Arial"/>
          <w:sz w:val="24"/>
          <w:szCs w:val="24"/>
        </w:rPr>
        <w:t xml:space="preserve"> </w:t>
      </w:r>
      <w:r w:rsidR="00C05FFB" w:rsidRPr="003075E5">
        <w:rPr>
          <w:rFonts w:ascii="Arial" w:hAnsi="Arial" w:cs="Arial"/>
          <w:sz w:val="24"/>
          <w:szCs w:val="24"/>
        </w:rPr>
        <w:t>os estudos realizados antes e depois do início da pandemia de COVID-19</w:t>
      </w:r>
      <w:r w:rsidR="00656B7B">
        <w:rPr>
          <w:rFonts w:ascii="Arial" w:hAnsi="Arial" w:cs="Arial"/>
          <w:sz w:val="24"/>
          <w:szCs w:val="24"/>
        </w:rPr>
        <w:t xml:space="preserve"> no país</w:t>
      </w:r>
      <w:r w:rsidR="003075E5">
        <w:rPr>
          <w:rFonts w:ascii="Arial" w:hAnsi="Arial" w:cs="Arial"/>
          <w:sz w:val="24"/>
          <w:szCs w:val="24"/>
        </w:rPr>
        <w:t xml:space="preserve">. </w:t>
      </w:r>
      <w:r w:rsidR="00D2069D">
        <w:rPr>
          <w:rFonts w:ascii="Arial" w:hAnsi="Arial" w:cs="Arial"/>
          <w:sz w:val="24"/>
          <w:szCs w:val="24"/>
        </w:rPr>
        <w:t>Todavia</w:t>
      </w:r>
      <w:r w:rsidR="00656B7B">
        <w:rPr>
          <w:rFonts w:ascii="Arial" w:hAnsi="Arial" w:cs="Arial"/>
          <w:sz w:val="24"/>
          <w:szCs w:val="24"/>
        </w:rPr>
        <w:t xml:space="preserve">, </w:t>
      </w:r>
      <w:r w:rsidR="00E75EC7">
        <w:rPr>
          <w:rFonts w:ascii="Arial" w:hAnsi="Arial" w:cs="Arial"/>
          <w:sz w:val="24"/>
          <w:szCs w:val="24"/>
        </w:rPr>
        <w:t xml:space="preserve">ressalta-se que </w:t>
      </w:r>
      <w:r w:rsidR="00643A08">
        <w:rPr>
          <w:rFonts w:ascii="Arial" w:hAnsi="Arial" w:cs="Arial"/>
          <w:sz w:val="24"/>
          <w:szCs w:val="24"/>
        </w:rPr>
        <w:t>os dados coletados não permitem a avaliação</w:t>
      </w:r>
      <w:r w:rsidR="003075E5" w:rsidRPr="003075E5">
        <w:rPr>
          <w:rFonts w:ascii="Arial" w:hAnsi="Arial" w:cs="Arial"/>
          <w:sz w:val="24"/>
          <w:szCs w:val="24"/>
        </w:rPr>
        <w:t xml:space="preserve"> </w:t>
      </w:r>
      <w:r w:rsidR="00643A08">
        <w:rPr>
          <w:rFonts w:ascii="Arial" w:hAnsi="Arial" w:cs="Arial"/>
          <w:sz w:val="24"/>
          <w:szCs w:val="24"/>
        </w:rPr>
        <w:t>d</w:t>
      </w:r>
      <w:r w:rsidR="003075E5" w:rsidRPr="003075E5">
        <w:rPr>
          <w:rFonts w:ascii="Arial" w:hAnsi="Arial" w:cs="Arial"/>
          <w:sz w:val="24"/>
          <w:szCs w:val="24"/>
        </w:rPr>
        <w:t>o impacto causal da pandemia nas diferenças observadas</w:t>
      </w:r>
      <w:r w:rsidR="003647F7">
        <w:rPr>
          <w:rFonts w:ascii="Arial" w:hAnsi="Arial" w:cs="Arial"/>
          <w:sz w:val="24"/>
          <w:szCs w:val="24"/>
        </w:rPr>
        <w:t xml:space="preserve">, </w:t>
      </w:r>
      <w:r w:rsidR="00643A08">
        <w:rPr>
          <w:rFonts w:ascii="Arial" w:hAnsi="Arial" w:cs="Arial"/>
          <w:sz w:val="24"/>
          <w:szCs w:val="24"/>
        </w:rPr>
        <w:t>por</w:t>
      </w:r>
      <w:r w:rsidR="003647F7">
        <w:rPr>
          <w:rFonts w:ascii="Arial" w:hAnsi="Arial" w:cs="Arial"/>
          <w:sz w:val="24"/>
          <w:szCs w:val="24"/>
        </w:rPr>
        <w:t xml:space="preserve"> s</w:t>
      </w:r>
      <w:r w:rsidR="00277FED">
        <w:rPr>
          <w:rFonts w:ascii="Arial" w:hAnsi="Arial" w:cs="Arial"/>
          <w:sz w:val="24"/>
          <w:szCs w:val="24"/>
        </w:rPr>
        <w:t>erem</w:t>
      </w:r>
      <w:r w:rsidR="003647F7">
        <w:rPr>
          <w:rFonts w:ascii="Arial" w:hAnsi="Arial" w:cs="Arial"/>
          <w:sz w:val="24"/>
          <w:szCs w:val="24"/>
        </w:rPr>
        <w:t xml:space="preserve"> estudos </w:t>
      </w:r>
      <w:r w:rsidR="00277FED">
        <w:rPr>
          <w:rFonts w:ascii="Arial" w:hAnsi="Arial" w:cs="Arial"/>
          <w:sz w:val="24"/>
          <w:szCs w:val="24"/>
        </w:rPr>
        <w:t>transversais</w:t>
      </w:r>
      <w:r w:rsidR="003647F7">
        <w:rPr>
          <w:rFonts w:ascii="Arial" w:hAnsi="Arial" w:cs="Arial"/>
          <w:sz w:val="24"/>
          <w:szCs w:val="24"/>
        </w:rPr>
        <w:t xml:space="preserve">. </w:t>
      </w:r>
    </w:p>
    <w:p w14:paraId="2DD6CBE7" w14:textId="0BC8964C" w:rsidR="002F337F" w:rsidRDefault="002F337F" w:rsidP="002F337F">
      <w:pPr>
        <w:spacing w:line="360" w:lineRule="auto"/>
        <w:ind w:left="-851"/>
        <w:rPr>
          <w:rFonts w:ascii="Arial" w:hAnsi="Arial" w:cs="Arial"/>
          <w:sz w:val="24"/>
          <w:szCs w:val="24"/>
        </w:rPr>
      </w:pPr>
      <w:r w:rsidRPr="00B37DBF">
        <w:rPr>
          <w:rFonts w:ascii="Arial" w:hAnsi="Arial" w:cs="Arial"/>
          <w:b/>
          <w:bCs/>
          <w:sz w:val="24"/>
          <w:szCs w:val="24"/>
        </w:rPr>
        <w:lastRenderedPageBreak/>
        <w:t>Tabela 1</w:t>
      </w:r>
      <w:r w:rsidRPr="002F337F">
        <w:rPr>
          <w:rFonts w:ascii="Arial" w:hAnsi="Arial" w:cs="Arial"/>
          <w:sz w:val="24"/>
          <w:szCs w:val="24"/>
        </w:rPr>
        <w:t xml:space="preserve">: </w:t>
      </w:r>
      <w:r w:rsidR="00B37DBF">
        <w:rPr>
          <w:rFonts w:ascii="Arial" w:hAnsi="Arial" w:cs="Arial"/>
          <w:sz w:val="24"/>
          <w:szCs w:val="24"/>
        </w:rPr>
        <w:t>P</w:t>
      </w:r>
      <w:r w:rsidRPr="002F337F">
        <w:rPr>
          <w:rFonts w:ascii="Arial" w:hAnsi="Arial" w:cs="Arial"/>
          <w:sz w:val="24"/>
          <w:szCs w:val="24"/>
        </w:rPr>
        <w:t>revalência de transtornos mentais entre estudantes de medicina no Brasil</w:t>
      </w:r>
      <w:r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horzAnchor="margin" w:tblpXSpec="center" w:tblpY="76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1842"/>
        <w:gridCol w:w="889"/>
        <w:gridCol w:w="1946"/>
        <w:gridCol w:w="905"/>
        <w:gridCol w:w="2356"/>
      </w:tblGrid>
      <w:tr w:rsidR="002F337F" w:rsidRPr="002F337F" w14:paraId="0DF28E08" w14:textId="77777777" w:rsidTr="00B37DBF">
        <w:trPr>
          <w:trHeight w:val="360"/>
        </w:trPr>
        <w:tc>
          <w:tcPr>
            <w:tcW w:w="1418" w:type="dxa"/>
            <w:vMerge w:val="restart"/>
            <w:vAlign w:val="center"/>
          </w:tcPr>
          <w:p w14:paraId="00D6EE7C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087B18F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n de estudos</w:t>
            </w:r>
          </w:p>
        </w:tc>
        <w:tc>
          <w:tcPr>
            <w:tcW w:w="1842" w:type="dxa"/>
            <w:vMerge w:val="restart"/>
            <w:vAlign w:val="center"/>
          </w:tcPr>
          <w:p w14:paraId="00B3A2B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Prevalência (IC 95%, I²)</w:t>
            </w:r>
          </w:p>
        </w:tc>
        <w:tc>
          <w:tcPr>
            <w:tcW w:w="2835" w:type="dxa"/>
            <w:gridSpan w:val="2"/>
            <w:vAlign w:val="center"/>
          </w:tcPr>
          <w:p w14:paraId="06768E7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3261" w:type="dxa"/>
            <w:gridSpan w:val="2"/>
            <w:vAlign w:val="center"/>
          </w:tcPr>
          <w:p w14:paraId="0D443D5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</w:tr>
      <w:tr w:rsidR="002F337F" w:rsidRPr="002F337F" w14:paraId="679250D6" w14:textId="77777777" w:rsidTr="00B37DBF">
        <w:trPr>
          <w:trHeight w:val="368"/>
        </w:trPr>
        <w:tc>
          <w:tcPr>
            <w:tcW w:w="1418" w:type="dxa"/>
            <w:vMerge/>
            <w:vAlign w:val="center"/>
          </w:tcPr>
          <w:p w14:paraId="2D3F856E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14:paraId="78EEA5A7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14:paraId="7656022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vAlign w:val="center"/>
          </w:tcPr>
          <w:p w14:paraId="5C9CC5F7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n de estudos</w:t>
            </w:r>
          </w:p>
        </w:tc>
        <w:tc>
          <w:tcPr>
            <w:tcW w:w="1946" w:type="dxa"/>
            <w:vAlign w:val="center"/>
          </w:tcPr>
          <w:p w14:paraId="05637910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Prevalência (IC 95%, I²)</w:t>
            </w:r>
          </w:p>
        </w:tc>
        <w:tc>
          <w:tcPr>
            <w:tcW w:w="905" w:type="dxa"/>
            <w:vAlign w:val="center"/>
          </w:tcPr>
          <w:p w14:paraId="5428169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n de estudos</w:t>
            </w:r>
          </w:p>
        </w:tc>
        <w:tc>
          <w:tcPr>
            <w:tcW w:w="2356" w:type="dxa"/>
            <w:vAlign w:val="center"/>
          </w:tcPr>
          <w:p w14:paraId="20F81034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Prevalência (IC 95%, I²)</w:t>
            </w:r>
          </w:p>
        </w:tc>
      </w:tr>
      <w:tr w:rsidR="002F337F" w:rsidRPr="002F337F" w14:paraId="58A182AE" w14:textId="77777777" w:rsidTr="00B37DBF">
        <w:trPr>
          <w:trHeight w:val="368"/>
        </w:trPr>
        <w:tc>
          <w:tcPr>
            <w:tcW w:w="1418" w:type="dxa"/>
            <w:vAlign w:val="center"/>
          </w:tcPr>
          <w:p w14:paraId="7334198D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  <w:lang w:val="en-US"/>
              </w:rPr>
              <w:t>Depressão</w:t>
            </w:r>
          </w:p>
        </w:tc>
        <w:tc>
          <w:tcPr>
            <w:tcW w:w="993" w:type="dxa"/>
            <w:vAlign w:val="center"/>
          </w:tcPr>
          <w:p w14:paraId="30C5211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842" w:type="dxa"/>
            <w:vAlign w:val="center"/>
          </w:tcPr>
          <w:p w14:paraId="15928A4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  <w:lang w:val="en-US"/>
              </w:rPr>
              <w:t>36.3% (31.2-41.6. 99%)</w:t>
            </w:r>
          </w:p>
        </w:tc>
        <w:tc>
          <w:tcPr>
            <w:tcW w:w="889" w:type="dxa"/>
            <w:vAlign w:val="center"/>
          </w:tcPr>
          <w:p w14:paraId="31CF9E5C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6" w:type="dxa"/>
            <w:vAlign w:val="center"/>
          </w:tcPr>
          <w:p w14:paraId="04FAFDBA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27.9% (20.6-35.8, 96%)</w:t>
            </w:r>
          </w:p>
        </w:tc>
        <w:tc>
          <w:tcPr>
            <w:tcW w:w="905" w:type="dxa"/>
            <w:vAlign w:val="center"/>
          </w:tcPr>
          <w:p w14:paraId="2BE474EE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56" w:type="dxa"/>
            <w:vAlign w:val="center"/>
          </w:tcPr>
          <w:p w14:paraId="76669650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36.8% (28.0-46.9, 98%)</w:t>
            </w:r>
          </w:p>
        </w:tc>
      </w:tr>
      <w:tr w:rsidR="002F337F" w:rsidRPr="002F337F" w14:paraId="72914C0F" w14:textId="77777777" w:rsidTr="00B37DBF">
        <w:trPr>
          <w:trHeight w:val="741"/>
        </w:trPr>
        <w:tc>
          <w:tcPr>
            <w:tcW w:w="1418" w:type="dxa"/>
            <w:vAlign w:val="center"/>
          </w:tcPr>
          <w:p w14:paraId="471F44B9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  <w:lang w:val="en-US"/>
              </w:rPr>
              <w:t>Ansiedade</w:t>
            </w:r>
          </w:p>
        </w:tc>
        <w:tc>
          <w:tcPr>
            <w:tcW w:w="993" w:type="dxa"/>
            <w:vAlign w:val="center"/>
          </w:tcPr>
          <w:p w14:paraId="159C3C2F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842" w:type="dxa"/>
            <w:vAlign w:val="center"/>
          </w:tcPr>
          <w:p w14:paraId="25BD9BC9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  <w:lang w:val="en-US"/>
              </w:rPr>
              <w:t>41.2% (33.8-48.8, 99%)</w:t>
            </w:r>
          </w:p>
        </w:tc>
        <w:tc>
          <w:tcPr>
            <w:tcW w:w="889" w:type="dxa"/>
            <w:vAlign w:val="center"/>
          </w:tcPr>
          <w:p w14:paraId="760E3726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6" w:type="dxa"/>
            <w:vAlign w:val="center"/>
          </w:tcPr>
          <w:p w14:paraId="1A669170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27.4% (19.7-35.7, 88%)</w:t>
            </w:r>
          </w:p>
        </w:tc>
        <w:tc>
          <w:tcPr>
            <w:tcW w:w="905" w:type="dxa"/>
            <w:vAlign w:val="center"/>
          </w:tcPr>
          <w:p w14:paraId="6BE62710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56" w:type="dxa"/>
            <w:vAlign w:val="center"/>
          </w:tcPr>
          <w:p w14:paraId="7775858C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39.8% (30.6-49.3, 94%)</w:t>
            </w:r>
          </w:p>
        </w:tc>
      </w:tr>
      <w:tr w:rsidR="002F337F" w:rsidRPr="002F337F" w14:paraId="3E99D7D8" w14:textId="77777777" w:rsidTr="00B37DBF">
        <w:trPr>
          <w:trHeight w:val="583"/>
        </w:trPr>
        <w:tc>
          <w:tcPr>
            <w:tcW w:w="1418" w:type="dxa"/>
            <w:vAlign w:val="center"/>
          </w:tcPr>
          <w:p w14:paraId="4B1FD38F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Transtornos mentais comuns</w:t>
            </w:r>
          </w:p>
        </w:tc>
        <w:tc>
          <w:tcPr>
            <w:tcW w:w="993" w:type="dxa"/>
            <w:vAlign w:val="center"/>
          </w:tcPr>
          <w:p w14:paraId="1F03F56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2" w:type="dxa"/>
            <w:vAlign w:val="center"/>
          </w:tcPr>
          <w:p w14:paraId="75E981AC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38.7% (32.3-45.3, 97%)</w:t>
            </w:r>
          </w:p>
        </w:tc>
        <w:tc>
          <w:tcPr>
            <w:tcW w:w="889" w:type="dxa"/>
            <w:vAlign w:val="center"/>
          </w:tcPr>
          <w:p w14:paraId="1A2091D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6" w:type="dxa"/>
            <w:vAlign w:val="center"/>
          </w:tcPr>
          <w:p w14:paraId="6E884776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33.5% (26.5-40.8, 91%)</w:t>
            </w:r>
          </w:p>
        </w:tc>
        <w:tc>
          <w:tcPr>
            <w:tcW w:w="905" w:type="dxa"/>
            <w:vAlign w:val="center"/>
          </w:tcPr>
          <w:p w14:paraId="7D2A6FF3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56" w:type="dxa"/>
            <w:vAlign w:val="center"/>
          </w:tcPr>
          <w:p w14:paraId="6015C7A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39.1% (30.0-48.5, 96%)</w:t>
            </w:r>
          </w:p>
        </w:tc>
      </w:tr>
      <w:tr w:rsidR="002F337F" w:rsidRPr="002F337F" w14:paraId="49E76830" w14:textId="77777777" w:rsidTr="00B37DBF">
        <w:trPr>
          <w:trHeight w:val="756"/>
        </w:trPr>
        <w:tc>
          <w:tcPr>
            <w:tcW w:w="1418" w:type="dxa"/>
            <w:vAlign w:val="center"/>
          </w:tcPr>
          <w:p w14:paraId="2EFA4273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Má qualidade do sono</w:t>
            </w:r>
          </w:p>
        </w:tc>
        <w:tc>
          <w:tcPr>
            <w:tcW w:w="993" w:type="dxa"/>
            <w:vAlign w:val="center"/>
          </w:tcPr>
          <w:p w14:paraId="51D40C7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2" w:type="dxa"/>
            <w:vAlign w:val="center"/>
          </w:tcPr>
          <w:p w14:paraId="4EEF3780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65.6% (58.5-72.4, 95%)</w:t>
            </w:r>
          </w:p>
        </w:tc>
        <w:tc>
          <w:tcPr>
            <w:tcW w:w="889" w:type="dxa"/>
            <w:vAlign w:val="center"/>
          </w:tcPr>
          <w:p w14:paraId="4A311685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6" w:type="dxa"/>
            <w:vAlign w:val="center"/>
          </w:tcPr>
          <w:p w14:paraId="5839D12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54.9% (22.5-85.3, 94%)</w:t>
            </w:r>
          </w:p>
        </w:tc>
        <w:tc>
          <w:tcPr>
            <w:tcW w:w="905" w:type="dxa"/>
            <w:vAlign w:val="center"/>
          </w:tcPr>
          <w:p w14:paraId="3D1A4B31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56" w:type="dxa"/>
            <w:vAlign w:val="center"/>
          </w:tcPr>
          <w:p w14:paraId="34C37835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73.0% (37.5-96.9, 98%)</w:t>
            </w:r>
          </w:p>
        </w:tc>
      </w:tr>
      <w:tr w:rsidR="002F337F" w:rsidRPr="002F337F" w14:paraId="79E92CFB" w14:textId="77777777" w:rsidTr="00B37DBF">
        <w:trPr>
          <w:trHeight w:val="696"/>
        </w:trPr>
        <w:tc>
          <w:tcPr>
            <w:tcW w:w="1418" w:type="dxa"/>
            <w:vAlign w:val="center"/>
          </w:tcPr>
          <w:p w14:paraId="4D94D899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Abuso de álcool</w:t>
            </w:r>
          </w:p>
        </w:tc>
        <w:tc>
          <w:tcPr>
            <w:tcW w:w="993" w:type="dxa"/>
            <w:vAlign w:val="center"/>
          </w:tcPr>
          <w:p w14:paraId="6246334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2" w:type="dxa"/>
            <w:vAlign w:val="center"/>
          </w:tcPr>
          <w:p w14:paraId="3A2A38DC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31.2% (22.6-40.5, 99%)</w:t>
            </w:r>
          </w:p>
        </w:tc>
        <w:tc>
          <w:tcPr>
            <w:tcW w:w="889" w:type="dxa"/>
            <w:vAlign w:val="center"/>
          </w:tcPr>
          <w:p w14:paraId="00D41263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6" w:type="dxa"/>
            <w:vAlign w:val="center"/>
          </w:tcPr>
          <w:p w14:paraId="62D217DC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39.5% (22.9-57.5, 98%)</w:t>
            </w:r>
          </w:p>
        </w:tc>
        <w:tc>
          <w:tcPr>
            <w:tcW w:w="905" w:type="dxa"/>
            <w:vAlign w:val="center"/>
          </w:tcPr>
          <w:p w14:paraId="30EA401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56" w:type="dxa"/>
            <w:vAlign w:val="center"/>
          </w:tcPr>
          <w:p w14:paraId="25A9B09D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27.5% (12.6-45.7, 99%)</w:t>
            </w:r>
          </w:p>
        </w:tc>
      </w:tr>
      <w:tr w:rsidR="002F337F" w:rsidRPr="002F337F" w14:paraId="578A03BD" w14:textId="77777777" w:rsidTr="00B37DBF">
        <w:trPr>
          <w:trHeight w:val="660"/>
        </w:trPr>
        <w:tc>
          <w:tcPr>
            <w:tcW w:w="1418" w:type="dxa"/>
            <w:vAlign w:val="center"/>
          </w:tcPr>
          <w:p w14:paraId="016F9100" w14:textId="5140AEBB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5E1E00">
              <w:rPr>
                <w:rFonts w:ascii="Arial" w:hAnsi="Arial" w:cs="Arial"/>
                <w:sz w:val="20"/>
                <w:szCs w:val="20"/>
                <w:lang w:val="en-US"/>
              </w:rPr>
              <w:t>onolência diurna excessiva</w:t>
            </w:r>
          </w:p>
        </w:tc>
        <w:tc>
          <w:tcPr>
            <w:tcW w:w="993" w:type="dxa"/>
            <w:vAlign w:val="center"/>
          </w:tcPr>
          <w:p w14:paraId="301A4B33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7BC39EB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54.6% (43.4-65.6, 98%)</w:t>
            </w:r>
          </w:p>
        </w:tc>
        <w:tc>
          <w:tcPr>
            <w:tcW w:w="889" w:type="dxa"/>
            <w:vAlign w:val="center"/>
          </w:tcPr>
          <w:p w14:paraId="1AACF13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6" w:type="dxa"/>
            <w:vAlign w:val="center"/>
          </w:tcPr>
          <w:p w14:paraId="77AEB0A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35.4% (26.4-44.8, 61%)</w:t>
            </w:r>
          </w:p>
        </w:tc>
        <w:tc>
          <w:tcPr>
            <w:tcW w:w="905" w:type="dxa"/>
            <w:vAlign w:val="center"/>
          </w:tcPr>
          <w:p w14:paraId="03BC098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56" w:type="dxa"/>
            <w:vAlign w:val="center"/>
          </w:tcPr>
          <w:p w14:paraId="5FC65A7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57.3% (40.2-73.6, 94%)</w:t>
            </w:r>
          </w:p>
        </w:tc>
      </w:tr>
      <w:tr w:rsidR="002F337F" w:rsidRPr="002F337F" w14:paraId="519876FB" w14:textId="77777777" w:rsidTr="00B37DBF">
        <w:trPr>
          <w:trHeight w:val="684"/>
        </w:trPr>
        <w:tc>
          <w:tcPr>
            <w:tcW w:w="1418" w:type="dxa"/>
            <w:vAlign w:val="center"/>
          </w:tcPr>
          <w:p w14:paraId="64BE4871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Sintomas de estresse</w:t>
            </w:r>
          </w:p>
        </w:tc>
        <w:tc>
          <w:tcPr>
            <w:tcW w:w="993" w:type="dxa"/>
            <w:vAlign w:val="center"/>
          </w:tcPr>
          <w:p w14:paraId="72EE0EA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31B45929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42.2% (26.6-58.6, 99%)</w:t>
            </w:r>
          </w:p>
        </w:tc>
        <w:tc>
          <w:tcPr>
            <w:tcW w:w="889" w:type="dxa"/>
            <w:vAlign w:val="center"/>
          </w:tcPr>
          <w:p w14:paraId="6ECD3A8E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6" w:type="dxa"/>
            <w:vAlign w:val="center"/>
          </w:tcPr>
          <w:p w14:paraId="524C506C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38.6% (22.8-55.6, 91%)</w:t>
            </w:r>
          </w:p>
        </w:tc>
        <w:tc>
          <w:tcPr>
            <w:tcW w:w="905" w:type="dxa"/>
            <w:vAlign w:val="center"/>
          </w:tcPr>
          <w:p w14:paraId="54B61C5F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56" w:type="dxa"/>
            <w:vAlign w:val="center"/>
          </w:tcPr>
          <w:p w14:paraId="696B39E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51.9% (43.0-60.7, 68%)</w:t>
            </w:r>
          </w:p>
        </w:tc>
      </w:tr>
      <w:tr w:rsidR="002F337F" w:rsidRPr="002F337F" w14:paraId="2A3EC8C6" w14:textId="77777777" w:rsidTr="00B37DBF">
        <w:trPr>
          <w:trHeight w:val="672"/>
        </w:trPr>
        <w:tc>
          <w:tcPr>
            <w:tcW w:w="1418" w:type="dxa"/>
            <w:vAlign w:val="center"/>
          </w:tcPr>
          <w:p w14:paraId="611959E4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Síndrome de burnout</w:t>
            </w:r>
          </w:p>
        </w:tc>
        <w:tc>
          <w:tcPr>
            <w:tcW w:w="993" w:type="dxa"/>
            <w:vAlign w:val="center"/>
          </w:tcPr>
          <w:p w14:paraId="249A7073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53D89F7A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21.9% (13.6-31.5, 97%)</w:t>
            </w:r>
          </w:p>
        </w:tc>
        <w:tc>
          <w:tcPr>
            <w:tcW w:w="889" w:type="dxa"/>
            <w:vAlign w:val="center"/>
          </w:tcPr>
          <w:p w14:paraId="386AF1E6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6" w:type="dxa"/>
            <w:vAlign w:val="center"/>
          </w:tcPr>
          <w:p w14:paraId="79CED194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14.4% (9.9-19.6, 81%)</w:t>
            </w:r>
          </w:p>
        </w:tc>
        <w:tc>
          <w:tcPr>
            <w:tcW w:w="905" w:type="dxa"/>
            <w:vAlign w:val="center"/>
          </w:tcPr>
          <w:p w14:paraId="0E4B107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56" w:type="dxa"/>
            <w:vAlign w:val="center"/>
          </w:tcPr>
          <w:p w14:paraId="70C3FFF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14.6% (10.6-19.1, 81%)</w:t>
            </w:r>
          </w:p>
        </w:tc>
      </w:tr>
      <w:tr w:rsidR="002F337F" w:rsidRPr="002F337F" w14:paraId="0DB56A45" w14:textId="77777777" w:rsidTr="00B37DBF">
        <w:trPr>
          <w:trHeight w:val="600"/>
        </w:trPr>
        <w:tc>
          <w:tcPr>
            <w:tcW w:w="1418" w:type="dxa"/>
            <w:vAlign w:val="center"/>
          </w:tcPr>
          <w:p w14:paraId="45A91019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Ideação/risco suicida</w:t>
            </w:r>
          </w:p>
        </w:tc>
        <w:tc>
          <w:tcPr>
            <w:tcW w:w="993" w:type="dxa"/>
            <w:vAlign w:val="center"/>
          </w:tcPr>
          <w:p w14:paraId="01DB6375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588320D9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11.4% (5.6-19.0, 94%)</w:t>
            </w:r>
          </w:p>
        </w:tc>
        <w:tc>
          <w:tcPr>
            <w:tcW w:w="889" w:type="dxa"/>
            <w:vAlign w:val="center"/>
          </w:tcPr>
          <w:p w14:paraId="398FF82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6" w:type="dxa"/>
            <w:vAlign w:val="center"/>
          </w:tcPr>
          <w:p w14:paraId="632FE069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7.2% (0.4-20.0, 86%)</w:t>
            </w:r>
          </w:p>
        </w:tc>
        <w:tc>
          <w:tcPr>
            <w:tcW w:w="905" w:type="dxa"/>
            <w:vAlign w:val="center"/>
          </w:tcPr>
          <w:p w14:paraId="3EC0F9B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56" w:type="dxa"/>
            <w:vAlign w:val="center"/>
          </w:tcPr>
          <w:p w14:paraId="0C394FC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9.6% (2.5-20.7, 92%)</w:t>
            </w:r>
          </w:p>
        </w:tc>
      </w:tr>
      <w:tr w:rsidR="002F337F" w:rsidRPr="002F337F" w14:paraId="203A15C8" w14:textId="77777777" w:rsidTr="00B37DBF">
        <w:trPr>
          <w:trHeight w:val="600"/>
        </w:trPr>
        <w:tc>
          <w:tcPr>
            <w:tcW w:w="1418" w:type="dxa"/>
            <w:vAlign w:val="center"/>
          </w:tcPr>
          <w:p w14:paraId="03BA93AA" w14:textId="19A49C90" w:rsidR="002F337F" w:rsidRPr="005E1E00" w:rsidRDefault="005E1E00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E00">
              <w:rPr>
                <w:rFonts w:ascii="Arial" w:hAnsi="Arial" w:cs="Arial"/>
                <w:sz w:val="20"/>
                <w:szCs w:val="20"/>
              </w:rPr>
              <w:t>Insatisfação com a forma corporal</w:t>
            </w:r>
          </w:p>
        </w:tc>
        <w:tc>
          <w:tcPr>
            <w:tcW w:w="993" w:type="dxa"/>
            <w:vAlign w:val="center"/>
          </w:tcPr>
          <w:p w14:paraId="27BF95E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7BE5D09F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24.5% (13.5-37.6, 94%)</w:t>
            </w:r>
          </w:p>
        </w:tc>
        <w:tc>
          <w:tcPr>
            <w:tcW w:w="889" w:type="dxa"/>
            <w:vAlign w:val="center"/>
          </w:tcPr>
          <w:p w14:paraId="3A815594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6" w:type="dxa"/>
            <w:vAlign w:val="center"/>
          </w:tcPr>
          <w:p w14:paraId="0EBCE550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9.2% (4.9-14.6, 1%)</w:t>
            </w:r>
          </w:p>
        </w:tc>
        <w:tc>
          <w:tcPr>
            <w:tcW w:w="905" w:type="dxa"/>
            <w:vAlign w:val="center"/>
          </w:tcPr>
          <w:p w14:paraId="7FB5D9A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56" w:type="dxa"/>
            <w:vAlign w:val="center"/>
          </w:tcPr>
          <w:p w14:paraId="7E6C6A61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26.7% (18.1-36.2, 56%)</w:t>
            </w:r>
          </w:p>
        </w:tc>
      </w:tr>
      <w:tr w:rsidR="002F337F" w:rsidRPr="002F337F" w14:paraId="429FDB84" w14:textId="77777777" w:rsidTr="00B37DBF">
        <w:trPr>
          <w:trHeight w:val="600"/>
        </w:trPr>
        <w:tc>
          <w:tcPr>
            <w:tcW w:w="1418" w:type="dxa"/>
            <w:vAlign w:val="center"/>
          </w:tcPr>
          <w:p w14:paraId="6F626DF3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Sintomas de TOC</w:t>
            </w:r>
          </w:p>
        </w:tc>
        <w:tc>
          <w:tcPr>
            <w:tcW w:w="993" w:type="dxa"/>
            <w:vAlign w:val="center"/>
          </w:tcPr>
          <w:p w14:paraId="2E20EA61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FCC62AE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3.8% (2.3-5.5, 0%)</w:t>
            </w:r>
          </w:p>
        </w:tc>
        <w:tc>
          <w:tcPr>
            <w:tcW w:w="889" w:type="dxa"/>
            <w:vAlign w:val="center"/>
          </w:tcPr>
          <w:p w14:paraId="1EF28614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946" w:type="dxa"/>
            <w:vAlign w:val="center"/>
          </w:tcPr>
          <w:p w14:paraId="590E7113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905" w:type="dxa"/>
            <w:vAlign w:val="center"/>
          </w:tcPr>
          <w:p w14:paraId="1A14CE81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2356" w:type="dxa"/>
            <w:vAlign w:val="center"/>
          </w:tcPr>
          <w:p w14:paraId="2B42F438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2F337F" w:rsidRPr="002F337F" w14:paraId="167AC7FB" w14:textId="77777777" w:rsidTr="00B37DBF">
        <w:trPr>
          <w:trHeight w:val="600"/>
        </w:trPr>
        <w:tc>
          <w:tcPr>
            <w:tcW w:w="1418" w:type="dxa"/>
            <w:vAlign w:val="center"/>
          </w:tcPr>
          <w:p w14:paraId="09B52242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Vício em internet</w:t>
            </w:r>
          </w:p>
        </w:tc>
        <w:tc>
          <w:tcPr>
            <w:tcW w:w="993" w:type="dxa"/>
            <w:vAlign w:val="center"/>
          </w:tcPr>
          <w:p w14:paraId="04F00683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7367C7A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34.1% (0.0-93.2, 100%)</w:t>
            </w:r>
          </w:p>
        </w:tc>
        <w:tc>
          <w:tcPr>
            <w:tcW w:w="889" w:type="dxa"/>
            <w:vAlign w:val="center"/>
          </w:tcPr>
          <w:p w14:paraId="5052003A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946" w:type="dxa"/>
            <w:vAlign w:val="center"/>
          </w:tcPr>
          <w:p w14:paraId="74DF9BD7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905" w:type="dxa"/>
            <w:vAlign w:val="center"/>
          </w:tcPr>
          <w:p w14:paraId="416A8117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2356" w:type="dxa"/>
            <w:vAlign w:val="center"/>
          </w:tcPr>
          <w:p w14:paraId="2DE71E1B" w14:textId="77777777" w:rsidR="002F337F" w:rsidRPr="002F337F" w:rsidRDefault="002F337F" w:rsidP="00B37D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37F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</w:tbl>
    <w:p w14:paraId="3B532F12" w14:textId="32935A62" w:rsidR="00F91044" w:rsidRPr="00F91044" w:rsidRDefault="002F337F" w:rsidP="00F91044">
      <w:pPr>
        <w:spacing w:line="360" w:lineRule="auto"/>
        <w:ind w:left="-851"/>
        <w:rPr>
          <w:rFonts w:ascii="Arial" w:hAnsi="Arial" w:cs="Arial"/>
          <w:sz w:val="20"/>
          <w:szCs w:val="20"/>
        </w:rPr>
      </w:pPr>
      <w:r w:rsidRPr="002F337F">
        <w:rPr>
          <w:rFonts w:ascii="Arial" w:hAnsi="Arial" w:cs="Arial"/>
          <w:sz w:val="20"/>
          <w:szCs w:val="20"/>
        </w:rPr>
        <w:t>ND: não disponível; IC: intervalo de confiança; TOC: transtorno obsessivo-compulsivo.</w:t>
      </w:r>
      <w:r w:rsidR="00CA1181">
        <w:rPr>
          <w:rFonts w:ascii="Arial" w:hAnsi="Arial" w:cs="Arial"/>
          <w:sz w:val="20"/>
          <w:szCs w:val="20"/>
        </w:rPr>
        <w:t xml:space="preserve"> </w:t>
      </w:r>
    </w:p>
    <w:p w14:paraId="01419963" w14:textId="77777777" w:rsidR="00F91044" w:rsidRPr="00092702" w:rsidRDefault="00F91044" w:rsidP="00F9104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2702">
        <w:rPr>
          <w:rFonts w:ascii="Arial" w:hAnsi="Arial" w:cs="Arial"/>
          <w:b/>
          <w:bCs/>
          <w:sz w:val="24"/>
          <w:szCs w:val="24"/>
        </w:rPr>
        <w:lastRenderedPageBreak/>
        <w:t>CONCLUSÕES</w:t>
      </w:r>
    </w:p>
    <w:p w14:paraId="4CA62841" w14:textId="77777777" w:rsidR="00F91044" w:rsidRDefault="00F91044" w:rsidP="00F910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702"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</w:rPr>
        <w:t xml:space="preserve">es achados </w:t>
      </w:r>
      <w:r w:rsidRPr="00092702">
        <w:rPr>
          <w:rFonts w:ascii="Arial" w:hAnsi="Arial" w:cs="Arial"/>
          <w:sz w:val="24"/>
          <w:szCs w:val="24"/>
        </w:rPr>
        <w:t>têm importantes implicações para política</w:t>
      </w:r>
      <w:r>
        <w:rPr>
          <w:rFonts w:ascii="Arial" w:hAnsi="Arial" w:cs="Arial"/>
          <w:sz w:val="24"/>
          <w:szCs w:val="24"/>
        </w:rPr>
        <w:t>s</w:t>
      </w:r>
      <w:r w:rsidRPr="00092702">
        <w:rPr>
          <w:rFonts w:ascii="Arial" w:hAnsi="Arial" w:cs="Arial"/>
          <w:sz w:val="24"/>
          <w:szCs w:val="24"/>
        </w:rPr>
        <w:t xml:space="preserve"> de saúde e prática clínica, podendo estimular </w:t>
      </w:r>
      <w:r>
        <w:rPr>
          <w:rFonts w:ascii="Arial" w:hAnsi="Arial" w:cs="Arial"/>
          <w:sz w:val="24"/>
          <w:szCs w:val="24"/>
        </w:rPr>
        <w:t xml:space="preserve">novas </w:t>
      </w:r>
      <w:r w:rsidRPr="00092702">
        <w:rPr>
          <w:rFonts w:ascii="Arial" w:hAnsi="Arial" w:cs="Arial"/>
          <w:sz w:val="24"/>
          <w:szCs w:val="24"/>
        </w:rPr>
        <w:t xml:space="preserve">pesquisas em diferentes áreas. </w:t>
      </w:r>
      <w:r>
        <w:rPr>
          <w:rFonts w:ascii="Arial" w:hAnsi="Arial" w:cs="Arial"/>
          <w:sz w:val="24"/>
          <w:szCs w:val="24"/>
        </w:rPr>
        <w:t>A</w:t>
      </w:r>
      <w:r w:rsidRPr="00092702">
        <w:rPr>
          <w:rFonts w:ascii="Arial" w:hAnsi="Arial" w:cs="Arial"/>
          <w:sz w:val="24"/>
          <w:szCs w:val="24"/>
        </w:rPr>
        <w:t xml:space="preserve">s altas taxas </w:t>
      </w:r>
      <w:r>
        <w:rPr>
          <w:rFonts w:ascii="Arial" w:hAnsi="Arial" w:cs="Arial"/>
          <w:sz w:val="24"/>
          <w:szCs w:val="24"/>
        </w:rPr>
        <w:t>de múltiplos</w:t>
      </w:r>
      <w:r w:rsidRPr="00092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TMs</w:t>
      </w:r>
      <w:r w:rsidRPr="00092702">
        <w:rPr>
          <w:rFonts w:ascii="Arial" w:hAnsi="Arial" w:cs="Arial"/>
          <w:sz w:val="24"/>
          <w:szCs w:val="24"/>
        </w:rPr>
        <w:t xml:space="preserve"> destacam a necessidade </w:t>
      </w:r>
      <w:r>
        <w:rPr>
          <w:rFonts w:ascii="Arial" w:hAnsi="Arial" w:cs="Arial"/>
          <w:sz w:val="24"/>
          <w:szCs w:val="24"/>
        </w:rPr>
        <w:t xml:space="preserve">de </w:t>
      </w:r>
      <w:r w:rsidRPr="00092702">
        <w:rPr>
          <w:rFonts w:ascii="Arial" w:hAnsi="Arial" w:cs="Arial"/>
          <w:sz w:val="24"/>
          <w:szCs w:val="24"/>
        </w:rPr>
        <w:t xml:space="preserve">intervenções direcionadas e sistemas de apoio em escolas de medicina. </w:t>
      </w:r>
      <w:r>
        <w:rPr>
          <w:rFonts w:ascii="Arial" w:hAnsi="Arial" w:cs="Arial"/>
          <w:sz w:val="24"/>
          <w:szCs w:val="24"/>
        </w:rPr>
        <w:t>S</w:t>
      </w:r>
      <w:r w:rsidRPr="00092702">
        <w:rPr>
          <w:rFonts w:ascii="Arial" w:hAnsi="Arial" w:cs="Arial"/>
          <w:sz w:val="24"/>
          <w:szCs w:val="24"/>
        </w:rPr>
        <w:t>em abordar essas questões, corre</w:t>
      </w:r>
      <w:r>
        <w:rPr>
          <w:rFonts w:ascii="Arial" w:hAnsi="Arial" w:cs="Arial"/>
          <w:sz w:val="24"/>
          <w:szCs w:val="24"/>
        </w:rPr>
        <w:t xml:space="preserve">-se </w:t>
      </w:r>
      <w:r w:rsidRPr="00092702">
        <w:rPr>
          <w:rFonts w:ascii="Arial" w:hAnsi="Arial" w:cs="Arial"/>
          <w:sz w:val="24"/>
          <w:szCs w:val="24"/>
        </w:rPr>
        <w:t xml:space="preserve">o risco de perpetuar </w:t>
      </w:r>
      <w:r>
        <w:rPr>
          <w:rFonts w:ascii="Arial" w:hAnsi="Arial" w:cs="Arial"/>
          <w:sz w:val="24"/>
          <w:szCs w:val="24"/>
        </w:rPr>
        <w:t>TMs</w:t>
      </w:r>
      <w:r w:rsidRPr="00092702">
        <w:rPr>
          <w:rFonts w:ascii="Arial" w:hAnsi="Arial" w:cs="Arial"/>
          <w:sz w:val="24"/>
          <w:szCs w:val="24"/>
        </w:rPr>
        <w:t xml:space="preserve"> que podem afetar não apenas os estudantes, mas também a qualidade do atendimento que eles prestarão como futuros médicos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D6335C9" w14:textId="77777777" w:rsidR="00F91044" w:rsidRDefault="00F91044" w:rsidP="00F910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131BBE" w14:textId="77777777" w:rsidR="00F91044" w:rsidRPr="00DC536A" w:rsidRDefault="00F91044" w:rsidP="00F9104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C536A">
        <w:rPr>
          <w:rFonts w:ascii="Arial" w:hAnsi="Arial" w:cs="Arial"/>
          <w:b/>
          <w:bCs/>
          <w:sz w:val="24"/>
          <w:szCs w:val="24"/>
          <w:lang w:val="en-US"/>
        </w:rPr>
        <w:t>REFERÊNCIAS</w:t>
      </w:r>
    </w:p>
    <w:p w14:paraId="321BF295" w14:textId="77777777" w:rsidR="00F91044" w:rsidRDefault="00F91044" w:rsidP="00F910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702">
        <w:rPr>
          <w:rFonts w:ascii="Arial" w:hAnsi="Arial" w:cs="Arial"/>
          <w:sz w:val="24"/>
          <w:szCs w:val="24"/>
          <w:lang w:val="en-US"/>
        </w:rPr>
        <w:t xml:space="preserve">Dyrbye LN, West CP, Satele D, et al. Burnout Among U.S. Medical Students, Residents, and Early Career Physicians Relative to the General U.S. Population. </w:t>
      </w:r>
      <w:r w:rsidRPr="00092702">
        <w:rPr>
          <w:rFonts w:ascii="Arial" w:hAnsi="Arial" w:cs="Arial"/>
          <w:sz w:val="24"/>
          <w:szCs w:val="24"/>
        </w:rPr>
        <w:t>2014;89(3):443-451. doi:10.1097/ACM.0000000000000134</w:t>
      </w:r>
    </w:p>
    <w:p w14:paraId="75361E90" w14:textId="77777777" w:rsidR="00F91044" w:rsidRPr="003F7003" w:rsidRDefault="00F91044" w:rsidP="00F910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2A77">
        <w:rPr>
          <w:rFonts w:ascii="Arial" w:hAnsi="Arial" w:cs="Arial"/>
          <w:sz w:val="24"/>
          <w:szCs w:val="24"/>
        </w:rPr>
        <w:t xml:space="preserve">Melo, V., Monteiro, L., Orge, C., Sales, M., Melo, J., Rodrigues, B., &amp; Melo, A. (2023). </w:t>
      </w:r>
      <w:r w:rsidRPr="00792A77">
        <w:rPr>
          <w:rFonts w:ascii="Arial" w:hAnsi="Arial" w:cs="Arial"/>
          <w:sz w:val="24"/>
          <w:szCs w:val="24"/>
          <w:lang w:val="en-US"/>
        </w:rPr>
        <w:t>Prevalence of temporomandibular disorders in the Brazilian population: A systematic review and meta-analysis. </w:t>
      </w:r>
      <w:r w:rsidRPr="00792A77">
        <w:rPr>
          <w:rFonts w:ascii="Arial" w:hAnsi="Arial" w:cs="Arial"/>
          <w:i/>
          <w:iCs/>
          <w:sz w:val="24"/>
          <w:szCs w:val="24"/>
        </w:rPr>
        <w:t>CRANIO®</w:t>
      </w:r>
      <w:r w:rsidRPr="00792A77">
        <w:rPr>
          <w:rFonts w:ascii="Arial" w:hAnsi="Arial" w:cs="Arial"/>
          <w:sz w:val="24"/>
          <w:szCs w:val="24"/>
        </w:rPr>
        <w:t xml:space="preserve">, 1–8. </w:t>
      </w:r>
      <w:hyperlink r:id="rId4" w:history="1">
        <w:r w:rsidRPr="009D3570">
          <w:rPr>
            <w:rStyle w:val="Hyperlink"/>
            <w:rFonts w:ascii="Arial" w:hAnsi="Arial" w:cs="Arial"/>
            <w:sz w:val="24"/>
            <w:szCs w:val="24"/>
          </w:rPr>
          <w:t>https://doi.org/10.1080/08869634.2023.2276627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83F6264" w14:textId="77777777" w:rsidR="00F91044" w:rsidRDefault="00F91044" w:rsidP="00F9104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2AE5557" w14:textId="77777777" w:rsidR="00F91044" w:rsidRDefault="00F91044" w:rsidP="00F9104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73054">
        <w:rPr>
          <w:rFonts w:ascii="Arial" w:hAnsi="Arial" w:cs="Arial"/>
          <w:b/>
          <w:bCs/>
          <w:sz w:val="24"/>
          <w:szCs w:val="24"/>
        </w:rPr>
        <w:t>FOMENTO</w:t>
      </w:r>
    </w:p>
    <w:p w14:paraId="250CE198" w14:textId="77777777" w:rsidR="00F91044" w:rsidRDefault="00F91044" w:rsidP="00F910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trabalho teve a concessão de bolsas pelo PIBIC/FAPESB aos estudantes Vítor Melo e Rafael Nascimento. </w:t>
      </w:r>
    </w:p>
    <w:p w14:paraId="7D54DA9A" w14:textId="77777777" w:rsidR="00F91044" w:rsidRPr="00CA1181" w:rsidRDefault="00F91044" w:rsidP="00CA1181">
      <w:pPr>
        <w:spacing w:line="360" w:lineRule="auto"/>
        <w:ind w:left="-851"/>
        <w:rPr>
          <w:rFonts w:ascii="Arial" w:hAnsi="Arial" w:cs="Arial"/>
          <w:sz w:val="20"/>
          <w:szCs w:val="20"/>
        </w:rPr>
      </w:pPr>
    </w:p>
    <w:sectPr w:rsidR="00F91044" w:rsidRPr="00CA1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4C"/>
    <w:rsid w:val="00000E45"/>
    <w:rsid w:val="00012754"/>
    <w:rsid w:val="00015BC6"/>
    <w:rsid w:val="0005562B"/>
    <w:rsid w:val="00092702"/>
    <w:rsid w:val="000C0DA3"/>
    <w:rsid w:val="000D12C5"/>
    <w:rsid w:val="001123E1"/>
    <w:rsid w:val="00121ADB"/>
    <w:rsid w:val="00122D2B"/>
    <w:rsid w:val="00124D32"/>
    <w:rsid w:val="00150DAC"/>
    <w:rsid w:val="00153BE2"/>
    <w:rsid w:val="001A69DF"/>
    <w:rsid w:val="001B5669"/>
    <w:rsid w:val="001D1DC2"/>
    <w:rsid w:val="001E21BC"/>
    <w:rsid w:val="001E748D"/>
    <w:rsid w:val="001F5C5E"/>
    <w:rsid w:val="00241BD5"/>
    <w:rsid w:val="00250113"/>
    <w:rsid w:val="00275261"/>
    <w:rsid w:val="00277FED"/>
    <w:rsid w:val="002D4253"/>
    <w:rsid w:val="002D4255"/>
    <w:rsid w:val="002E263B"/>
    <w:rsid w:val="002E5877"/>
    <w:rsid w:val="002F337F"/>
    <w:rsid w:val="003075E5"/>
    <w:rsid w:val="00307E86"/>
    <w:rsid w:val="00315C23"/>
    <w:rsid w:val="003504C6"/>
    <w:rsid w:val="00355119"/>
    <w:rsid w:val="00361C5C"/>
    <w:rsid w:val="003647F7"/>
    <w:rsid w:val="003758B7"/>
    <w:rsid w:val="00375C51"/>
    <w:rsid w:val="00376E03"/>
    <w:rsid w:val="00377877"/>
    <w:rsid w:val="003C5A65"/>
    <w:rsid w:val="003F7003"/>
    <w:rsid w:val="004033FE"/>
    <w:rsid w:val="00421FB7"/>
    <w:rsid w:val="004253BD"/>
    <w:rsid w:val="00455615"/>
    <w:rsid w:val="00455AD3"/>
    <w:rsid w:val="00460A02"/>
    <w:rsid w:val="0046492B"/>
    <w:rsid w:val="00477494"/>
    <w:rsid w:val="004A0050"/>
    <w:rsid w:val="004A31B8"/>
    <w:rsid w:val="004C610F"/>
    <w:rsid w:val="004D497A"/>
    <w:rsid w:val="004E0CEC"/>
    <w:rsid w:val="004F073F"/>
    <w:rsid w:val="00516D68"/>
    <w:rsid w:val="00530904"/>
    <w:rsid w:val="00567DE9"/>
    <w:rsid w:val="00582BAD"/>
    <w:rsid w:val="005848C6"/>
    <w:rsid w:val="00596C18"/>
    <w:rsid w:val="005C631D"/>
    <w:rsid w:val="005D2431"/>
    <w:rsid w:val="005E1E00"/>
    <w:rsid w:val="005F7880"/>
    <w:rsid w:val="00614385"/>
    <w:rsid w:val="00620CA8"/>
    <w:rsid w:val="00643A08"/>
    <w:rsid w:val="00654B22"/>
    <w:rsid w:val="00656B7B"/>
    <w:rsid w:val="00671E2F"/>
    <w:rsid w:val="006842F7"/>
    <w:rsid w:val="006A2756"/>
    <w:rsid w:val="006A637E"/>
    <w:rsid w:val="006A6494"/>
    <w:rsid w:val="006A7570"/>
    <w:rsid w:val="006B7915"/>
    <w:rsid w:val="006C3714"/>
    <w:rsid w:val="00714FB7"/>
    <w:rsid w:val="0073453C"/>
    <w:rsid w:val="007406E1"/>
    <w:rsid w:val="00757934"/>
    <w:rsid w:val="007616C2"/>
    <w:rsid w:val="00762621"/>
    <w:rsid w:val="007717A7"/>
    <w:rsid w:val="00772F53"/>
    <w:rsid w:val="0077777C"/>
    <w:rsid w:val="00781848"/>
    <w:rsid w:val="007834F3"/>
    <w:rsid w:val="00792A77"/>
    <w:rsid w:val="00824650"/>
    <w:rsid w:val="00852AA4"/>
    <w:rsid w:val="00865665"/>
    <w:rsid w:val="00865ECA"/>
    <w:rsid w:val="00881F1A"/>
    <w:rsid w:val="008B35E0"/>
    <w:rsid w:val="008C5F51"/>
    <w:rsid w:val="008F4C30"/>
    <w:rsid w:val="008F526B"/>
    <w:rsid w:val="00904C79"/>
    <w:rsid w:val="00904CF8"/>
    <w:rsid w:val="0094345A"/>
    <w:rsid w:val="00973054"/>
    <w:rsid w:val="009900DC"/>
    <w:rsid w:val="009A0E3F"/>
    <w:rsid w:val="009E18B7"/>
    <w:rsid w:val="009E5803"/>
    <w:rsid w:val="009F63B3"/>
    <w:rsid w:val="00A005F6"/>
    <w:rsid w:val="00A07C2A"/>
    <w:rsid w:val="00A83D8B"/>
    <w:rsid w:val="00AC332E"/>
    <w:rsid w:val="00B067ED"/>
    <w:rsid w:val="00B17C36"/>
    <w:rsid w:val="00B37DBF"/>
    <w:rsid w:val="00B41738"/>
    <w:rsid w:val="00B454F0"/>
    <w:rsid w:val="00B554DC"/>
    <w:rsid w:val="00B902C1"/>
    <w:rsid w:val="00BC0B47"/>
    <w:rsid w:val="00BC2F7A"/>
    <w:rsid w:val="00BC7DAE"/>
    <w:rsid w:val="00BF5B49"/>
    <w:rsid w:val="00C05FFB"/>
    <w:rsid w:val="00C32CF3"/>
    <w:rsid w:val="00C430E8"/>
    <w:rsid w:val="00C77F6A"/>
    <w:rsid w:val="00C80AD0"/>
    <w:rsid w:val="00CA1181"/>
    <w:rsid w:val="00CB0F25"/>
    <w:rsid w:val="00CB68DF"/>
    <w:rsid w:val="00CD4B47"/>
    <w:rsid w:val="00D00BC7"/>
    <w:rsid w:val="00D12651"/>
    <w:rsid w:val="00D2069D"/>
    <w:rsid w:val="00D24EF4"/>
    <w:rsid w:val="00D83F4C"/>
    <w:rsid w:val="00DA5083"/>
    <w:rsid w:val="00DC536A"/>
    <w:rsid w:val="00DD2436"/>
    <w:rsid w:val="00DE3AAA"/>
    <w:rsid w:val="00E5748F"/>
    <w:rsid w:val="00E66FD0"/>
    <w:rsid w:val="00E75EC7"/>
    <w:rsid w:val="00E96C19"/>
    <w:rsid w:val="00EA7D6F"/>
    <w:rsid w:val="00EC10E7"/>
    <w:rsid w:val="00EC6678"/>
    <w:rsid w:val="00F119ED"/>
    <w:rsid w:val="00F52E28"/>
    <w:rsid w:val="00F641B6"/>
    <w:rsid w:val="00F82055"/>
    <w:rsid w:val="00F91044"/>
    <w:rsid w:val="00FC3174"/>
    <w:rsid w:val="00FC703B"/>
    <w:rsid w:val="00FE24DC"/>
    <w:rsid w:val="00FE250A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1A84"/>
  <w15:chartTrackingRefBased/>
  <w15:docId w15:val="{2BD2E190-665A-4DC2-8FAA-B68F8C43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3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3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3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3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3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3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3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3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3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3F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3F4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3F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3F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F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3F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3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3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3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3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F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3F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3F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3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3F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3F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927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270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6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08869634.2023.227662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6</Pages>
  <Words>1615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Vítor Melo</dc:creator>
  <cp:keywords/>
  <dc:description/>
  <cp:lastModifiedBy>Vítor Melo</cp:lastModifiedBy>
  <cp:revision>135</cp:revision>
  <dcterms:created xsi:type="dcterms:W3CDTF">2024-11-13T15:03:00Z</dcterms:created>
  <dcterms:modified xsi:type="dcterms:W3CDTF">2024-11-26T16:07:00Z</dcterms:modified>
</cp:coreProperties>
</file>